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9C1B7" w14:textId="1471389B" w:rsidR="001D7F35" w:rsidRDefault="006B30CF" w:rsidP="00A91964">
      <w:pPr>
        <w:pStyle w:val="Header"/>
        <w:pBdr>
          <w:bottom w:val="single" w:sz="4" w:space="1" w:color="3366FF"/>
        </w:pBdr>
        <w:tabs>
          <w:tab w:val="clear" w:pos="4320"/>
          <w:tab w:val="clear" w:pos="8640"/>
        </w:tabs>
        <w:ind w:right="22"/>
        <w:jc w:val="both"/>
        <w:rPr>
          <w:rFonts w:ascii="Arial" w:hAnsi="Arial"/>
          <w:b/>
          <w:bCs/>
          <w:i/>
          <w:iCs/>
          <w:color w:val="0000FF"/>
        </w:rPr>
      </w:pPr>
      <w:r>
        <w:rPr>
          <w:rFonts w:ascii="Arial" w:hAnsi="Arial"/>
          <w:b/>
          <w:bCs/>
          <w:i/>
          <w:iCs/>
          <w:color w:val="0000FF"/>
        </w:rPr>
        <w:t xml:space="preserve"> </w:t>
      </w:r>
    </w:p>
    <w:p w14:paraId="71B95348" w14:textId="77777777" w:rsidR="001D7F35" w:rsidRDefault="001D7F35" w:rsidP="00A91964">
      <w:pPr>
        <w:pStyle w:val="Footer"/>
        <w:jc w:val="both"/>
        <w:rPr>
          <w:b/>
          <w:bCs/>
          <w:i/>
          <w:iCs/>
          <w:sz w:val="18"/>
          <w:szCs w:val="18"/>
          <w:lang w:val="en-US"/>
        </w:rPr>
      </w:pPr>
    </w:p>
    <w:p w14:paraId="6DBCEE22" w14:textId="0C5A88DD" w:rsidR="001D7F35" w:rsidRDefault="001D7F35" w:rsidP="00A91964">
      <w:pPr>
        <w:pStyle w:val="Footer"/>
        <w:jc w:val="both"/>
        <w:rPr>
          <w:b/>
          <w:bCs/>
          <w:i/>
          <w:iCs/>
          <w:sz w:val="18"/>
          <w:szCs w:val="18"/>
          <w:lang w:val="en-US"/>
        </w:rPr>
      </w:pPr>
      <w:r>
        <w:rPr>
          <w:b/>
          <w:bCs/>
          <w:i/>
          <w:iCs/>
          <w:sz w:val="18"/>
          <w:szCs w:val="18"/>
          <w:lang w:val="en-US"/>
        </w:rPr>
        <w:t>This release and additional tables</w:t>
      </w:r>
      <w:r>
        <w:rPr>
          <w:b/>
          <w:bCs/>
          <w:i/>
          <w:iCs/>
          <w:sz w:val="18"/>
          <w:szCs w:val="18"/>
          <w:lang w:val="en-US"/>
        </w:rPr>
        <w:tab/>
      </w:r>
      <w:r>
        <w:rPr>
          <w:b/>
          <w:bCs/>
          <w:i/>
          <w:iCs/>
          <w:sz w:val="18"/>
          <w:szCs w:val="18"/>
          <w:lang w:val="en-US"/>
        </w:rPr>
        <w:tab/>
      </w:r>
    </w:p>
    <w:p w14:paraId="04088DA9" w14:textId="538DEC00" w:rsidR="001D7F35" w:rsidRDefault="001D7F35" w:rsidP="00A91964">
      <w:pPr>
        <w:pStyle w:val="Footer"/>
        <w:jc w:val="both"/>
        <w:rPr>
          <w:b/>
          <w:bCs/>
          <w:i/>
          <w:iCs/>
          <w:sz w:val="18"/>
          <w:szCs w:val="18"/>
          <w:lang w:val="en-US"/>
        </w:rPr>
      </w:pPr>
      <w:r>
        <w:rPr>
          <w:b/>
          <w:bCs/>
          <w:i/>
          <w:iCs/>
          <w:sz w:val="18"/>
          <w:szCs w:val="18"/>
          <w:lang w:val="en-US"/>
        </w:rPr>
        <w:t>of international statistics are</w:t>
      </w:r>
    </w:p>
    <w:p w14:paraId="572F30E2" w14:textId="6939ED8B" w:rsidR="001D7F35" w:rsidRPr="004A7D89" w:rsidRDefault="00114679" w:rsidP="00A91964">
      <w:pPr>
        <w:pStyle w:val="Footer"/>
        <w:jc w:val="both"/>
        <w:rPr>
          <w:b/>
          <w:bCs/>
          <w:i/>
          <w:iCs/>
          <w:sz w:val="18"/>
          <w:szCs w:val="18"/>
          <w:lang w:val="en-US"/>
        </w:rPr>
      </w:pPr>
      <w:r w:rsidRPr="004A7D89">
        <w:rPr>
          <w:b/>
          <w:bCs/>
          <w:i/>
          <w:iCs/>
          <w:sz w:val="18"/>
          <w:szCs w:val="18"/>
          <w:lang w:val="en-US"/>
        </w:rPr>
        <w:t xml:space="preserve">available on </w:t>
      </w:r>
      <w:proofErr w:type="spellStart"/>
      <w:r w:rsidRPr="004A7D89">
        <w:rPr>
          <w:b/>
          <w:bCs/>
          <w:i/>
          <w:iCs/>
          <w:sz w:val="18"/>
          <w:szCs w:val="18"/>
          <w:lang w:val="en-US"/>
        </w:rPr>
        <w:t>ef</w:t>
      </w:r>
      <w:r w:rsidR="001D7F35" w:rsidRPr="004A7D89">
        <w:rPr>
          <w:b/>
          <w:bCs/>
          <w:i/>
          <w:iCs/>
          <w:sz w:val="18"/>
          <w:szCs w:val="18"/>
          <w:lang w:val="en-US"/>
        </w:rPr>
        <w:t>ama’s</w:t>
      </w:r>
      <w:proofErr w:type="spellEnd"/>
      <w:r w:rsidR="001D7F35" w:rsidRPr="004A7D89">
        <w:rPr>
          <w:b/>
          <w:bCs/>
          <w:i/>
          <w:iCs/>
          <w:sz w:val="18"/>
          <w:szCs w:val="18"/>
          <w:lang w:val="en-US"/>
        </w:rPr>
        <w:t xml:space="preserve"> website</w:t>
      </w:r>
    </w:p>
    <w:p w14:paraId="4873398C" w14:textId="7749E849" w:rsidR="009D4CDA" w:rsidRPr="004A7D89" w:rsidRDefault="001D7F35" w:rsidP="00807F82">
      <w:pPr>
        <w:pStyle w:val="Footer"/>
        <w:jc w:val="both"/>
        <w:rPr>
          <w:b/>
          <w:bCs/>
          <w:i/>
          <w:iCs/>
          <w:sz w:val="18"/>
          <w:szCs w:val="18"/>
          <w:lang w:val="en-US"/>
        </w:rPr>
      </w:pPr>
      <w:r w:rsidRPr="004A7D89">
        <w:rPr>
          <w:b/>
          <w:bCs/>
          <w:i/>
          <w:iCs/>
          <w:sz w:val="18"/>
          <w:szCs w:val="18"/>
          <w:lang w:val="en-US"/>
        </w:rPr>
        <w:t>(</w:t>
      </w:r>
      <w:hyperlink r:id="rId8" w:history="1">
        <w:r w:rsidRPr="004A7D89">
          <w:rPr>
            <w:rStyle w:val="Hyperlink"/>
            <w:b/>
            <w:bCs/>
            <w:i/>
            <w:iCs/>
            <w:sz w:val="18"/>
            <w:szCs w:val="18"/>
            <w:lang w:val="en-US"/>
          </w:rPr>
          <w:t>www.efama.org</w:t>
        </w:r>
      </w:hyperlink>
      <w:r w:rsidRPr="004A7D89">
        <w:rPr>
          <w:b/>
          <w:bCs/>
          <w:i/>
          <w:iCs/>
          <w:sz w:val="18"/>
          <w:szCs w:val="18"/>
          <w:lang w:val="en-US"/>
        </w:rPr>
        <w:t>)</w:t>
      </w:r>
      <w:r w:rsidR="00F71295" w:rsidRPr="004A7D89">
        <w:rPr>
          <w:b/>
          <w:bCs/>
          <w:i/>
          <w:iCs/>
          <w:sz w:val="18"/>
          <w:szCs w:val="18"/>
          <w:lang w:val="en-US"/>
        </w:rPr>
        <w:t>.</w:t>
      </w:r>
    </w:p>
    <w:p w14:paraId="07739BD6" w14:textId="0A3680F4" w:rsidR="00A02CB8" w:rsidRPr="004A7D89" w:rsidRDefault="00A02CB8" w:rsidP="00A02CB8">
      <w:pPr>
        <w:rPr>
          <w:lang w:val="en-US"/>
        </w:rPr>
      </w:pPr>
    </w:p>
    <w:p w14:paraId="792E0A66" w14:textId="2E7236E0" w:rsidR="00A02CB8" w:rsidRPr="004A7D89" w:rsidRDefault="00A02CB8" w:rsidP="00A02CB8">
      <w:pPr>
        <w:rPr>
          <w:lang w:val="en-US"/>
        </w:rPr>
      </w:pPr>
    </w:p>
    <w:p w14:paraId="7651EAF4" w14:textId="4AEA885F" w:rsidR="001D7F35" w:rsidRDefault="001D7F35" w:rsidP="004B71FD">
      <w:pPr>
        <w:pStyle w:val="Heading2"/>
        <w:ind w:right="22"/>
        <w:jc w:val="center"/>
        <w:rPr>
          <w:rFonts w:ascii="Arial" w:hAnsi="Arial" w:cs="Arial"/>
          <w:color w:val="0000FF"/>
          <w:spacing w:val="20"/>
          <w:sz w:val="28"/>
        </w:rPr>
      </w:pPr>
      <w:r>
        <w:rPr>
          <w:rFonts w:ascii="Arial" w:hAnsi="Arial" w:cs="Arial"/>
          <w:color w:val="0000FF"/>
          <w:spacing w:val="20"/>
          <w:sz w:val="28"/>
        </w:rPr>
        <w:t xml:space="preserve">Worldwide </w:t>
      </w:r>
      <w:r w:rsidR="008E1CAD">
        <w:rPr>
          <w:rFonts w:ascii="Arial" w:hAnsi="Arial" w:cs="Arial"/>
          <w:color w:val="0000FF"/>
          <w:spacing w:val="20"/>
          <w:sz w:val="28"/>
        </w:rPr>
        <w:t xml:space="preserve">Regulated </w:t>
      </w:r>
      <w:r w:rsidR="00655FDA">
        <w:rPr>
          <w:rFonts w:ascii="Arial" w:hAnsi="Arial" w:cs="Arial"/>
          <w:color w:val="0000FF"/>
          <w:spacing w:val="20"/>
          <w:sz w:val="28"/>
        </w:rPr>
        <w:t>Open-ended</w:t>
      </w:r>
      <w:r w:rsidR="008E1CAD">
        <w:rPr>
          <w:rFonts w:ascii="Arial" w:hAnsi="Arial" w:cs="Arial"/>
          <w:color w:val="0000FF"/>
          <w:spacing w:val="20"/>
          <w:sz w:val="28"/>
        </w:rPr>
        <w:t xml:space="preserve"> Fun</w:t>
      </w:r>
      <w:r>
        <w:rPr>
          <w:rFonts w:ascii="Arial" w:hAnsi="Arial" w:cs="Arial"/>
          <w:color w:val="0000FF"/>
          <w:spacing w:val="20"/>
          <w:sz w:val="28"/>
        </w:rPr>
        <w:t>d Assets and Flows</w:t>
      </w:r>
    </w:p>
    <w:p w14:paraId="3FAF953E" w14:textId="5012BFB5" w:rsidR="001D7F35" w:rsidRPr="008E1CAD" w:rsidRDefault="001D7F35" w:rsidP="004B71FD">
      <w:pPr>
        <w:jc w:val="center"/>
        <w:rPr>
          <w:b/>
          <w:bCs/>
          <w:color w:val="3333FF"/>
        </w:rPr>
      </w:pPr>
      <w:r w:rsidRPr="008E1CAD">
        <w:rPr>
          <w:b/>
          <w:bCs/>
          <w:color w:val="3333FF"/>
        </w:rPr>
        <w:t xml:space="preserve">Trends in the </w:t>
      </w:r>
      <w:r w:rsidR="00A34BE5">
        <w:rPr>
          <w:b/>
          <w:bCs/>
          <w:color w:val="3333FF"/>
        </w:rPr>
        <w:t>Fourth</w:t>
      </w:r>
      <w:r w:rsidR="000B2BF2">
        <w:rPr>
          <w:b/>
          <w:bCs/>
          <w:color w:val="3333FF"/>
        </w:rPr>
        <w:t xml:space="preserve"> </w:t>
      </w:r>
      <w:r w:rsidR="00A91964">
        <w:rPr>
          <w:b/>
          <w:bCs/>
          <w:color w:val="3333FF"/>
        </w:rPr>
        <w:t>Q</w:t>
      </w:r>
      <w:r w:rsidR="00267411">
        <w:rPr>
          <w:b/>
          <w:bCs/>
          <w:color w:val="3333FF"/>
        </w:rPr>
        <w:t>uarter</w:t>
      </w:r>
      <w:r w:rsidR="00A91964">
        <w:rPr>
          <w:b/>
          <w:bCs/>
          <w:color w:val="3333FF"/>
        </w:rPr>
        <w:t xml:space="preserve"> of</w:t>
      </w:r>
      <w:r w:rsidR="00AB559A">
        <w:rPr>
          <w:b/>
          <w:bCs/>
          <w:color w:val="3333FF"/>
        </w:rPr>
        <w:t xml:space="preserve"> </w:t>
      </w:r>
      <w:r w:rsidR="008E1CAD" w:rsidRPr="008E1CAD">
        <w:rPr>
          <w:b/>
          <w:bCs/>
          <w:color w:val="3333FF"/>
        </w:rPr>
        <w:t>201</w:t>
      </w:r>
      <w:r w:rsidR="00D20CA0">
        <w:rPr>
          <w:b/>
          <w:bCs/>
          <w:color w:val="3333FF"/>
        </w:rPr>
        <w:t>9</w:t>
      </w:r>
    </w:p>
    <w:p w14:paraId="4DFD3614" w14:textId="23916770" w:rsidR="00C06372" w:rsidRDefault="00C06372" w:rsidP="00A91964">
      <w:pPr>
        <w:spacing w:line="360" w:lineRule="auto"/>
        <w:jc w:val="both"/>
        <w:rPr>
          <w:b/>
          <w:bCs/>
        </w:rPr>
      </w:pPr>
      <w:bookmarkStart w:id="0" w:name="OLE_LINK1"/>
    </w:p>
    <w:p w14:paraId="06106CD8" w14:textId="7D1A2855" w:rsidR="00B212A4" w:rsidRDefault="00B212A4" w:rsidP="00A91964">
      <w:pPr>
        <w:spacing w:line="300" w:lineRule="exact"/>
        <w:jc w:val="both"/>
        <w:rPr>
          <w:rFonts w:ascii="Calibri" w:hAnsi="Calibri"/>
          <w:sz w:val="22"/>
          <w:szCs w:val="22"/>
        </w:rPr>
      </w:pPr>
      <w:r w:rsidRPr="00B97423">
        <w:rPr>
          <w:rFonts w:ascii="Calibri" w:hAnsi="Calibri"/>
          <w:sz w:val="22"/>
          <w:szCs w:val="22"/>
        </w:rPr>
        <w:t>Brussels</w:t>
      </w:r>
      <w:r w:rsidR="00B859F4" w:rsidRPr="00B97423">
        <w:rPr>
          <w:rFonts w:ascii="Calibri" w:hAnsi="Calibri"/>
          <w:sz w:val="22"/>
          <w:szCs w:val="22"/>
        </w:rPr>
        <w:t xml:space="preserve">, </w:t>
      </w:r>
      <w:r w:rsidR="00F50054">
        <w:rPr>
          <w:rFonts w:ascii="Calibri" w:hAnsi="Calibri"/>
          <w:sz w:val="22"/>
          <w:szCs w:val="22"/>
        </w:rPr>
        <w:t>March</w:t>
      </w:r>
      <w:r w:rsidR="0012009C" w:rsidRPr="00B97423">
        <w:rPr>
          <w:rFonts w:ascii="Calibri" w:hAnsi="Calibri"/>
          <w:sz w:val="22"/>
          <w:szCs w:val="22"/>
        </w:rPr>
        <w:t xml:space="preserve"> </w:t>
      </w:r>
      <w:r w:rsidR="00F50054">
        <w:rPr>
          <w:rFonts w:ascii="Calibri" w:hAnsi="Calibri"/>
          <w:sz w:val="22"/>
          <w:szCs w:val="22"/>
        </w:rPr>
        <w:t>25</w:t>
      </w:r>
      <w:r w:rsidR="004D61C9" w:rsidRPr="00B97423">
        <w:rPr>
          <w:rFonts w:ascii="Calibri" w:hAnsi="Calibri"/>
          <w:sz w:val="22"/>
          <w:szCs w:val="22"/>
        </w:rPr>
        <w:t xml:space="preserve">, </w:t>
      </w:r>
      <w:r w:rsidR="00267411" w:rsidRPr="00B97423">
        <w:rPr>
          <w:rFonts w:ascii="Calibri" w:hAnsi="Calibri"/>
          <w:sz w:val="22"/>
          <w:szCs w:val="22"/>
        </w:rPr>
        <w:t>20</w:t>
      </w:r>
      <w:r w:rsidR="0022318C">
        <w:rPr>
          <w:rFonts w:ascii="Calibri" w:hAnsi="Calibri"/>
          <w:sz w:val="22"/>
          <w:szCs w:val="22"/>
        </w:rPr>
        <w:t xml:space="preserve">20 </w:t>
      </w:r>
      <w:r w:rsidR="00417265" w:rsidRPr="00CD6514">
        <w:rPr>
          <w:rFonts w:ascii="Calibri" w:hAnsi="Calibri"/>
          <w:b/>
          <w:sz w:val="22"/>
          <w:szCs w:val="22"/>
        </w:rPr>
        <w:t xml:space="preserve">– </w:t>
      </w:r>
      <w:r w:rsidRPr="00CD6514">
        <w:rPr>
          <w:rFonts w:ascii="Calibri" w:hAnsi="Calibri"/>
          <w:sz w:val="22"/>
          <w:szCs w:val="22"/>
        </w:rPr>
        <w:t>Worldwide regulat</w:t>
      </w:r>
      <w:r w:rsidR="00422218">
        <w:rPr>
          <w:rFonts w:ascii="Calibri" w:hAnsi="Calibri"/>
          <w:sz w:val="22"/>
          <w:szCs w:val="22"/>
        </w:rPr>
        <w:t xml:space="preserve">ed </w:t>
      </w:r>
      <w:r w:rsidR="00655FDA">
        <w:rPr>
          <w:rFonts w:ascii="Calibri" w:hAnsi="Calibri"/>
          <w:sz w:val="22"/>
          <w:szCs w:val="22"/>
        </w:rPr>
        <w:t>open-ended</w:t>
      </w:r>
      <w:r w:rsidR="00AA59A5">
        <w:rPr>
          <w:rFonts w:ascii="Calibri" w:hAnsi="Calibri"/>
          <w:sz w:val="22"/>
          <w:szCs w:val="22"/>
        </w:rPr>
        <w:t xml:space="preserve"> fund assets </w:t>
      </w:r>
      <w:r w:rsidR="00AC2171">
        <w:rPr>
          <w:rFonts w:ascii="Calibri" w:hAnsi="Calibri"/>
          <w:sz w:val="22"/>
          <w:szCs w:val="22"/>
        </w:rPr>
        <w:t>in</w:t>
      </w:r>
      <w:r w:rsidR="00CE45A6">
        <w:rPr>
          <w:rFonts w:ascii="Calibri" w:hAnsi="Calibri"/>
          <w:sz w:val="22"/>
          <w:szCs w:val="22"/>
        </w:rPr>
        <w:t xml:space="preserve">creased </w:t>
      </w:r>
      <w:r w:rsidR="006166EE">
        <w:rPr>
          <w:rFonts w:ascii="Calibri" w:hAnsi="Calibri"/>
          <w:sz w:val="22"/>
          <w:szCs w:val="22"/>
        </w:rPr>
        <w:t xml:space="preserve">by </w:t>
      </w:r>
      <w:r w:rsidR="0022318C">
        <w:rPr>
          <w:rFonts w:ascii="Calibri" w:hAnsi="Calibri"/>
          <w:sz w:val="22"/>
          <w:szCs w:val="22"/>
        </w:rPr>
        <w:t>3.1</w:t>
      </w:r>
      <w:r w:rsidR="00422218">
        <w:rPr>
          <w:rFonts w:ascii="Calibri" w:hAnsi="Calibri"/>
          <w:sz w:val="22"/>
          <w:szCs w:val="22"/>
        </w:rPr>
        <w:t xml:space="preserve"> </w:t>
      </w:r>
      <w:r w:rsidRPr="00CD6514">
        <w:rPr>
          <w:rFonts w:ascii="Calibri" w:hAnsi="Calibri"/>
          <w:sz w:val="22"/>
          <w:szCs w:val="22"/>
        </w:rPr>
        <w:t>percent</w:t>
      </w:r>
      <w:r w:rsidR="00772B1F" w:rsidRPr="00772B1F">
        <w:rPr>
          <w:rFonts w:ascii="Calibri" w:hAnsi="Calibri"/>
          <w:sz w:val="22"/>
          <w:szCs w:val="22"/>
        </w:rPr>
        <w:t xml:space="preserve"> </w:t>
      </w:r>
      <w:r w:rsidR="00772B1F" w:rsidRPr="00CD6514">
        <w:rPr>
          <w:rFonts w:ascii="Calibri" w:hAnsi="Calibri"/>
          <w:sz w:val="22"/>
          <w:szCs w:val="22"/>
        </w:rPr>
        <w:t>to</w:t>
      </w:r>
      <w:r w:rsidR="00CE45A6">
        <w:rPr>
          <w:rFonts w:ascii="Calibri" w:hAnsi="Calibri"/>
          <w:sz w:val="22"/>
          <w:szCs w:val="22"/>
        </w:rPr>
        <w:t xml:space="preserve"> EUR </w:t>
      </w:r>
      <w:r w:rsidR="00EB3CF0">
        <w:rPr>
          <w:rFonts w:ascii="Calibri" w:hAnsi="Calibri"/>
          <w:sz w:val="22"/>
          <w:szCs w:val="22"/>
        </w:rPr>
        <w:t>5</w:t>
      </w:r>
      <w:r w:rsidR="0022318C">
        <w:rPr>
          <w:rFonts w:ascii="Calibri" w:hAnsi="Calibri"/>
          <w:sz w:val="22"/>
          <w:szCs w:val="22"/>
        </w:rPr>
        <w:t>2</w:t>
      </w:r>
      <w:r w:rsidR="00EB3CF0">
        <w:rPr>
          <w:rFonts w:ascii="Calibri" w:hAnsi="Calibri"/>
          <w:sz w:val="22"/>
          <w:szCs w:val="22"/>
        </w:rPr>
        <w:t>.</w:t>
      </w:r>
      <w:r w:rsidR="0022318C">
        <w:rPr>
          <w:rFonts w:ascii="Calibri" w:hAnsi="Calibri"/>
          <w:sz w:val="22"/>
          <w:szCs w:val="22"/>
        </w:rPr>
        <w:t xml:space="preserve">7 </w:t>
      </w:r>
      <w:r w:rsidR="00772B1F">
        <w:rPr>
          <w:rFonts w:ascii="Calibri" w:hAnsi="Calibri"/>
          <w:sz w:val="22"/>
          <w:szCs w:val="22"/>
        </w:rPr>
        <w:t>trillion</w:t>
      </w:r>
      <w:r w:rsidRPr="00CD6514">
        <w:rPr>
          <w:rFonts w:ascii="Calibri" w:hAnsi="Calibri"/>
          <w:sz w:val="22"/>
          <w:szCs w:val="22"/>
        </w:rPr>
        <w:t xml:space="preserve"> </w:t>
      </w:r>
      <w:r w:rsidR="00521082">
        <w:rPr>
          <w:rFonts w:ascii="Calibri" w:hAnsi="Calibri"/>
          <w:sz w:val="22"/>
          <w:szCs w:val="22"/>
        </w:rPr>
        <w:t xml:space="preserve">in the </w:t>
      </w:r>
      <w:r w:rsidR="0022318C">
        <w:rPr>
          <w:rFonts w:ascii="Calibri" w:hAnsi="Calibri"/>
          <w:sz w:val="22"/>
          <w:szCs w:val="22"/>
        </w:rPr>
        <w:t>fourth</w:t>
      </w:r>
      <w:r w:rsidR="00BB0707">
        <w:rPr>
          <w:rFonts w:ascii="Calibri" w:hAnsi="Calibri"/>
          <w:sz w:val="22"/>
          <w:szCs w:val="22"/>
        </w:rPr>
        <w:t xml:space="preserve"> quarter of 201</w:t>
      </w:r>
      <w:r w:rsidR="00A04A17">
        <w:rPr>
          <w:rFonts w:ascii="Calibri" w:hAnsi="Calibri"/>
          <w:sz w:val="22"/>
          <w:szCs w:val="22"/>
        </w:rPr>
        <w:t>9</w:t>
      </w:r>
      <w:r w:rsidRPr="00C7484C">
        <w:rPr>
          <w:rFonts w:ascii="Calibri" w:hAnsi="Calibri"/>
          <w:sz w:val="22"/>
          <w:szCs w:val="22"/>
        </w:rPr>
        <w:t>.</w:t>
      </w:r>
      <w:r w:rsidR="008F00B1">
        <w:rPr>
          <w:rStyle w:val="FootnoteReference"/>
          <w:rFonts w:ascii="Calibri" w:hAnsi="Calibri"/>
          <w:sz w:val="22"/>
          <w:szCs w:val="22"/>
        </w:rPr>
        <w:footnoteReference w:id="1"/>
      </w:r>
      <w:r w:rsidRPr="00C7484C">
        <w:rPr>
          <w:rFonts w:ascii="Calibri" w:hAnsi="Calibri"/>
          <w:sz w:val="22"/>
          <w:szCs w:val="22"/>
        </w:rPr>
        <w:t xml:space="preserve"> </w:t>
      </w:r>
      <w:r w:rsidR="00417265" w:rsidRPr="00C7484C">
        <w:rPr>
          <w:rFonts w:ascii="Calibri" w:hAnsi="Calibri"/>
          <w:sz w:val="22"/>
          <w:szCs w:val="22"/>
        </w:rPr>
        <w:t xml:space="preserve"> </w:t>
      </w:r>
      <w:r w:rsidRPr="00C7484C">
        <w:rPr>
          <w:rFonts w:ascii="Calibri" w:hAnsi="Calibri"/>
          <w:sz w:val="22"/>
          <w:szCs w:val="22"/>
        </w:rPr>
        <w:t>Worldwid</w:t>
      </w:r>
      <w:r w:rsidR="008E6047">
        <w:rPr>
          <w:rFonts w:ascii="Calibri" w:hAnsi="Calibri"/>
          <w:sz w:val="22"/>
          <w:szCs w:val="22"/>
        </w:rPr>
        <w:t xml:space="preserve">e net cash flow to all funds </w:t>
      </w:r>
      <w:r w:rsidR="00633D08">
        <w:rPr>
          <w:rFonts w:ascii="Calibri" w:hAnsi="Calibri"/>
          <w:sz w:val="22"/>
          <w:szCs w:val="22"/>
        </w:rPr>
        <w:t>amounted to</w:t>
      </w:r>
      <w:r w:rsidRPr="00C7484C">
        <w:rPr>
          <w:rFonts w:ascii="Calibri" w:hAnsi="Calibri"/>
          <w:sz w:val="22"/>
          <w:szCs w:val="22"/>
        </w:rPr>
        <w:t xml:space="preserve"> </w:t>
      </w:r>
      <w:r w:rsidR="0023103C">
        <w:rPr>
          <w:rFonts w:ascii="Calibri" w:hAnsi="Calibri"/>
          <w:sz w:val="22"/>
          <w:szCs w:val="22"/>
        </w:rPr>
        <w:t xml:space="preserve">EUR </w:t>
      </w:r>
      <w:r w:rsidR="0022318C">
        <w:rPr>
          <w:rFonts w:ascii="Calibri" w:hAnsi="Calibri"/>
          <w:sz w:val="22"/>
          <w:szCs w:val="22"/>
        </w:rPr>
        <w:t>808</w:t>
      </w:r>
      <w:r w:rsidR="000D65A3">
        <w:rPr>
          <w:rFonts w:ascii="Calibri" w:hAnsi="Calibri"/>
          <w:sz w:val="22"/>
          <w:szCs w:val="22"/>
        </w:rPr>
        <w:t xml:space="preserve"> </w:t>
      </w:r>
      <w:r w:rsidR="00D2235D">
        <w:rPr>
          <w:rFonts w:ascii="Calibri" w:hAnsi="Calibri"/>
          <w:sz w:val="22"/>
          <w:szCs w:val="22"/>
        </w:rPr>
        <w:t>billion</w:t>
      </w:r>
      <w:r w:rsidRPr="00C7484C">
        <w:rPr>
          <w:rFonts w:ascii="Calibri" w:hAnsi="Calibri"/>
          <w:sz w:val="22"/>
          <w:szCs w:val="22"/>
        </w:rPr>
        <w:t xml:space="preserve">, compared to </w:t>
      </w:r>
      <w:r w:rsidR="0023103C">
        <w:rPr>
          <w:rFonts w:ascii="Calibri" w:hAnsi="Calibri"/>
          <w:sz w:val="22"/>
          <w:szCs w:val="22"/>
        </w:rPr>
        <w:t xml:space="preserve">EUR </w:t>
      </w:r>
      <w:r w:rsidR="0022318C">
        <w:rPr>
          <w:rFonts w:ascii="Calibri" w:hAnsi="Calibri"/>
          <w:sz w:val="22"/>
          <w:szCs w:val="22"/>
        </w:rPr>
        <w:t>622</w:t>
      </w:r>
      <w:r w:rsidRPr="00C7484C">
        <w:rPr>
          <w:rFonts w:ascii="Calibri" w:hAnsi="Calibri"/>
          <w:sz w:val="22"/>
          <w:szCs w:val="22"/>
        </w:rPr>
        <w:t xml:space="preserve"> bill</w:t>
      </w:r>
      <w:r w:rsidR="00BB6CA4" w:rsidRPr="00C7484C">
        <w:rPr>
          <w:rFonts w:ascii="Calibri" w:hAnsi="Calibri"/>
          <w:sz w:val="22"/>
          <w:szCs w:val="22"/>
        </w:rPr>
        <w:t xml:space="preserve">ion </w:t>
      </w:r>
      <w:r w:rsidR="00BB0707">
        <w:rPr>
          <w:rFonts w:ascii="Calibri" w:hAnsi="Calibri"/>
          <w:sz w:val="22"/>
          <w:szCs w:val="22"/>
        </w:rPr>
        <w:t>in</w:t>
      </w:r>
      <w:r w:rsidR="00C17DD2">
        <w:rPr>
          <w:rFonts w:ascii="Calibri" w:hAnsi="Calibri"/>
          <w:sz w:val="22"/>
          <w:szCs w:val="22"/>
        </w:rPr>
        <w:t xml:space="preserve"> the </w:t>
      </w:r>
      <w:r w:rsidR="0022318C">
        <w:rPr>
          <w:rFonts w:ascii="Calibri" w:hAnsi="Calibri"/>
          <w:sz w:val="22"/>
          <w:szCs w:val="22"/>
        </w:rPr>
        <w:t>third</w:t>
      </w:r>
      <w:r w:rsidR="00462F70">
        <w:rPr>
          <w:rFonts w:ascii="Calibri" w:hAnsi="Calibri"/>
          <w:sz w:val="22"/>
          <w:szCs w:val="22"/>
        </w:rPr>
        <w:t xml:space="preserve"> </w:t>
      </w:r>
      <w:r w:rsidR="00633D08">
        <w:rPr>
          <w:rFonts w:ascii="Calibri" w:hAnsi="Calibri"/>
          <w:sz w:val="22"/>
          <w:szCs w:val="22"/>
        </w:rPr>
        <w:t>quarter of 201</w:t>
      </w:r>
      <w:r w:rsidR="00A04A17">
        <w:rPr>
          <w:rFonts w:ascii="Calibri" w:hAnsi="Calibri"/>
          <w:sz w:val="22"/>
          <w:szCs w:val="22"/>
        </w:rPr>
        <w:t>9</w:t>
      </w:r>
      <w:r w:rsidRPr="00C7484C">
        <w:rPr>
          <w:rFonts w:ascii="Calibri" w:hAnsi="Calibri"/>
          <w:sz w:val="22"/>
          <w:szCs w:val="22"/>
        </w:rPr>
        <w:t xml:space="preserve">. </w:t>
      </w:r>
    </w:p>
    <w:p w14:paraId="3F2C4A33" w14:textId="4AAFE84D" w:rsidR="00F50A48" w:rsidRPr="00C7484C" w:rsidRDefault="00F50A48" w:rsidP="00A91964">
      <w:pPr>
        <w:spacing w:line="300" w:lineRule="exact"/>
        <w:jc w:val="both"/>
        <w:rPr>
          <w:rFonts w:ascii="Calibri" w:hAnsi="Calibri"/>
          <w:sz w:val="22"/>
          <w:szCs w:val="22"/>
        </w:rPr>
      </w:pPr>
    </w:p>
    <w:p w14:paraId="2127550E" w14:textId="0652DC14" w:rsidR="005E30B0" w:rsidRPr="00CD6514" w:rsidRDefault="005E30B0" w:rsidP="00A91964">
      <w:pPr>
        <w:autoSpaceDE w:val="0"/>
        <w:autoSpaceDN w:val="0"/>
        <w:adjustRightInd w:val="0"/>
        <w:spacing w:line="300" w:lineRule="exact"/>
        <w:jc w:val="both"/>
        <w:rPr>
          <w:rFonts w:ascii="Calibri" w:hAnsi="Calibri"/>
          <w:sz w:val="22"/>
          <w:szCs w:val="22"/>
        </w:rPr>
      </w:pPr>
      <w:r w:rsidRPr="00C7484C">
        <w:rPr>
          <w:rFonts w:ascii="Calibri" w:hAnsi="Calibri"/>
          <w:sz w:val="22"/>
          <w:szCs w:val="22"/>
          <w:lang w:val="en-US"/>
        </w:rPr>
        <w:t>T</w:t>
      </w:r>
      <w:r w:rsidRPr="00C7484C">
        <w:rPr>
          <w:rFonts w:ascii="Calibri" w:hAnsi="Calibri"/>
          <w:sz w:val="22"/>
          <w:szCs w:val="22"/>
        </w:rPr>
        <w:t>he information presented in this report was compiled by EFAMA and the Investment Company</w:t>
      </w:r>
      <w:r w:rsidRPr="00CD6514">
        <w:rPr>
          <w:rFonts w:ascii="Calibri" w:hAnsi="Calibri"/>
          <w:sz w:val="22"/>
          <w:szCs w:val="22"/>
        </w:rPr>
        <w:t xml:space="preserve"> Institute </w:t>
      </w:r>
      <w:r w:rsidR="00CC67EE" w:rsidRPr="00CD6514">
        <w:rPr>
          <w:rFonts w:ascii="Calibri" w:hAnsi="Calibri"/>
          <w:sz w:val="22"/>
          <w:szCs w:val="22"/>
        </w:rPr>
        <w:t xml:space="preserve">(ICI) </w:t>
      </w:r>
      <w:r w:rsidRPr="00CD6514">
        <w:rPr>
          <w:rFonts w:ascii="Calibri" w:hAnsi="Calibri"/>
          <w:sz w:val="22"/>
          <w:szCs w:val="22"/>
        </w:rPr>
        <w:t>on behalf of the International Investment Funds Association</w:t>
      </w:r>
      <w:r w:rsidR="00CC67EE" w:rsidRPr="00CD6514">
        <w:rPr>
          <w:rFonts w:ascii="Calibri" w:hAnsi="Calibri"/>
          <w:sz w:val="22"/>
          <w:szCs w:val="22"/>
        </w:rPr>
        <w:t xml:space="preserve"> (IIFA)</w:t>
      </w:r>
      <w:r w:rsidRPr="00CD6514">
        <w:rPr>
          <w:rFonts w:ascii="Calibri" w:hAnsi="Calibri"/>
          <w:sz w:val="22"/>
          <w:szCs w:val="22"/>
        </w:rPr>
        <w:t>, an organization of nationa</w:t>
      </w:r>
      <w:r w:rsidR="00CC67EE" w:rsidRPr="00CD6514">
        <w:rPr>
          <w:rFonts w:ascii="Calibri" w:hAnsi="Calibri"/>
          <w:sz w:val="22"/>
          <w:szCs w:val="22"/>
        </w:rPr>
        <w:t xml:space="preserve">l investment fund associations.  </w:t>
      </w:r>
      <w:r w:rsidRPr="00CD6514">
        <w:rPr>
          <w:rFonts w:ascii="Calibri" w:hAnsi="Calibri"/>
          <w:sz w:val="22"/>
          <w:szCs w:val="22"/>
        </w:rPr>
        <w:t>Statistics from</w:t>
      </w:r>
      <w:r w:rsidR="002421BF">
        <w:rPr>
          <w:rFonts w:ascii="Calibri" w:hAnsi="Calibri"/>
          <w:sz w:val="22"/>
          <w:szCs w:val="22"/>
        </w:rPr>
        <w:t xml:space="preserve"> 47</w:t>
      </w:r>
      <w:r w:rsidRPr="00CD6514">
        <w:rPr>
          <w:rFonts w:ascii="Calibri" w:hAnsi="Calibri"/>
          <w:sz w:val="22"/>
          <w:szCs w:val="22"/>
        </w:rPr>
        <w:t xml:space="preserve"> countries are included in this report</w:t>
      </w:r>
      <w:r w:rsidR="004A7D89">
        <w:rPr>
          <w:rFonts w:ascii="Calibri" w:hAnsi="Calibri"/>
          <w:sz w:val="22"/>
          <w:szCs w:val="22"/>
        </w:rPr>
        <w:t>.</w:t>
      </w:r>
    </w:p>
    <w:p w14:paraId="7CF6BB58" w14:textId="5B57E1D9" w:rsidR="0021382D" w:rsidRDefault="0021382D" w:rsidP="00A91964">
      <w:pPr>
        <w:autoSpaceDE w:val="0"/>
        <w:autoSpaceDN w:val="0"/>
        <w:adjustRightInd w:val="0"/>
        <w:jc w:val="both"/>
        <w:rPr>
          <w:rFonts w:ascii="Calibri" w:hAnsi="Calibri"/>
          <w:sz w:val="22"/>
          <w:szCs w:val="22"/>
        </w:rPr>
      </w:pPr>
    </w:p>
    <w:p w14:paraId="207E2731" w14:textId="6EB000F8" w:rsidR="0021382D" w:rsidRPr="00CD6514" w:rsidRDefault="00A34BE5" w:rsidP="00A91964">
      <w:pPr>
        <w:autoSpaceDE w:val="0"/>
        <w:autoSpaceDN w:val="0"/>
        <w:adjustRightInd w:val="0"/>
        <w:jc w:val="both"/>
        <w:rPr>
          <w:rFonts w:ascii="Calibri" w:hAnsi="Calibri"/>
          <w:sz w:val="22"/>
          <w:szCs w:val="22"/>
        </w:rPr>
      </w:pPr>
      <w:r>
        <w:rPr>
          <w:noProof/>
        </w:rPr>
        <w:drawing>
          <wp:anchor distT="0" distB="0" distL="114300" distR="114300" simplePos="0" relativeHeight="251738624" behindDoc="0" locked="0" layoutInCell="1" allowOverlap="1" wp14:anchorId="2A450E8F" wp14:editId="47B4B33B">
            <wp:simplePos x="0" y="0"/>
            <wp:positionH relativeFrom="margin">
              <wp:align>center</wp:align>
            </wp:positionH>
            <wp:positionV relativeFrom="paragraph">
              <wp:posOffset>9525</wp:posOffset>
            </wp:positionV>
            <wp:extent cx="6232659" cy="4287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2659" cy="4287600"/>
                    </a:xfrm>
                    <a:prstGeom prst="rect">
                      <a:avLst/>
                    </a:prstGeom>
                    <a:noFill/>
                  </pic:spPr>
                </pic:pic>
              </a:graphicData>
            </a:graphic>
            <wp14:sizeRelH relativeFrom="margin">
              <wp14:pctWidth>0</wp14:pctWidth>
            </wp14:sizeRelH>
            <wp14:sizeRelV relativeFrom="margin">
              <wp14:pctHeight>0</wp14:pctHeight>
            </wp14:sizeRelV>
          </wp:anchor>
        </w:drawing>
      </w:r>
    </w:p>
    <w:p w14:paraId="22B23EF8" w14:textId="0466A6C3" w:rsidR="005E30B0" w:rsidRDefault="005E30B0" w:rsidP="00A91964">
      <w:pPr>
        <w:autoSpaceDE w:val="0"/>
        <w:autoSpaceDN w:val="0"/>
        <w:adjustRightInd w:val="0"/>
        <w:jc w:val="both"/>
      </w:pPr>
    </w:p>
    <w:p w14:paraId="2B268477" w14:textId="624D08E8" w:rsidR="005E30B0" w:rsidRDefault="005E30B0" w:rsidP="00A91964">
      <w:pPr>
        <w:autoSpaceDE w:val="0"/>
        <w:autoSpaceDN w:val="0"/>
        <w:adjustRightInd w:val="0"/>
        <w:jc w:val="both"/>
      </w:pPr>
    </w:p>
    <w:p w14:paraId="7FB490EF" w14:textId="01AEDF28" w:rsidR="00B212A4" w:rsidRPr="00861669" w:rsidRDefault="00861669" w:rsidP="00A91964">
      <w:pPr>
        <w:autoSpaceDE w:val="0"/>
        <w:autoSpaceDN w:val="0"/>
        <w:adjustRightInd w:val="0"/>
        <w:jc w:val="both"/>
        <w:rPr>
          <w:sz w:val="16"/>
          <w:szCs w:val="16"/>
        </w:rPr>
      </w:pPr>
      <w:r>
        <w:rPr>
          <w:sz w:val="16"/>
          <w:szCs w:val="16"/>
        </w:rPr>
        <w:t xml:space="preserve">     </w:t>
      </w:r>
    </w:p>
    <w:p w14:paraId="4D291A82" w14:textId="586C61F1" w:rsidR="000D2CDE" w:rsidRDefault="00F50A48" w:rsidP="00A91964">
      <w:pPr>
        <w:pStyle w:val="BodyTextIndent"/>
        <w:spacing w:after="0" w:line="300" w:lineRule="exact"/>
        <w:ind w:left="0"/>
        <w:jc w:val="both"/>
        <w:rPr>
          <w:rFonts w:ascii="Calibri" w:hAnsi="Calibri"/>
          <w:sz w:val="22"/>
          <w:szCs w:val="22"/>
        </w:rPr>
      </w:pPr>
      <w:r>
        <w:rPr>
          <w:rFonts w:ascii="Calibri" w:hAnsi="Calibri"/>
          <w:sz w:val="22"/>
          <w:szCs w:val="22"/>
        </w:rPr>
        <w:br w:type="page"/>
      </w:r>
      <w:r w:rsidR="00723531">
        <w:rPr>
          <w:rFonts w:ascii="Calibri" w:hAnsi="Calibri"/>
          <w:sz w:val="22"/>
          <w:szCs w:val="22"/>
        </w:rPr>
        <w:lastRenderedPageBreak/>
        <w:t xml:space="preserve">Measured in U.S. dollars, </w:t>
      </w:r>
      <w:r w:rsidR="00A262CF">
        <w:rPr>
          <w:rFonts w:ascii="Calibri" w:hAnsi="Calibri"/>
          <w:sz w:val="22"/>
          <w:szCs w:val="22"/>
        </w:rPr>
        <w:t>worldwide</w:t>
      </w:r>
      <w:r w:rsidR="00723531" w:rsidRPr="003A6E94">
        <w:rPr>
          <w:rFonts w:ascii="Calibri" w:hAnsi="Calibri"/>
          <w:sz w:val="22"/>
          <w:szCs w:val="22"/>
        </w:rPr>
        <w:t xml:space="preserve"> investment fund </w:t>
      </w:r>
      <w:r w:rsidR="008E6047" w:rsidRPr="003A6E94">
        <w:rPr>
          <w:rFonts w:ascii="Calibri" w:hAnsi="Calibri"/>
          <w:sz w:val="22"/>
          <w:szCs w:val="22"/>
        </w:rPr>
        <w:t xml:space="preserve">net </w:t>
      </w:r>
      <w:r w:rsidR="002026F0">
        <w:rPr>
          <w:rFonts w:ascii="Calibri" w:hAnsi="Calibri"/>
          <w:sz w:val="22"/>
          <w:szCs w:val="22"/>
        </w:rPr>
        <w:t xml:space="preserve">assets </w:t>
      </w:r>
      <w:r w:rsidR="00A04A17">
        <w:rPr>
          <w:rFonts w:ascii="Calibri" w:hAnsi="Calibri"/>
          <w:sz w:val="22"/>
          <w:szCs w:val="22"/>
        </w:rPr>
        <w:t>in</w:t>
      </w:r>
      <w:r w:rsidR="00633D08">
        <w:rPr>
          <w:rFonts w:ascii="Calibri" w:hAnsi="Calibri"/>
          <w:sz w:val="22"/>
          <w:szCs w:val="22"/>
        </w:rPr>
        <w:t xml:space="preserve">creased </w:t>
      </w:r>
      <w:r w:rsidR="00602F3B">
        <w:rPr>
          <w:rFonts w:ascii="Calibri" w:hAnsi="Calibri"/>
          <w:sz w:val="22"/>
          <w:szCs w:val="22"/>
        </w:rPr>
        <w:t>to</w:t>
      </w:r>
      <w:r w:rsidR="002026F0">
        <w:rPr>
          <w:rFonts w:ascii="Calibri" w:hAnsi="Calibri"/>
          <w:sz w:val="22"/>
          <w:szCs w:val="22"/>
        </w:rPr>
        <w:t xml:space="preserve"> USD </w:t>
      </w:r>
      <w:r w:rsidR="0022318C">
        <w:rPr>
          <w:rFonts w:ascii="Calibri" w:hAnsi="Calibri"/>
          <w:sz w:val="22"/>
          <w:szCs w:val="22"/>
        </w:rPr>
        <w:t>59.2</w:t>
      </w:r>
      <w:r w:rsidR="00723531" w:rsidRPr="003A6E94">
        <w:rPr>
          <w:rFonts w:ascii="Calibri" w:hAnsi="Calibri"/>
          <w:sz w:val="22"/>
          <w:szCs w:val="22"/>
        </w:rPr>
        <w:t xml:space="preserve"> trillion at the</w:t>
      </w:r>
      <w:r w:rsidR="006F6A3D">
        <w:rPr>
          <w:rFonts w:ascii="Calibri" w:hAnsi="Calibri"/>
          <w:sz w:val="22"/>
          <w:szCs w:val="22"/>
        </w:rPr>
        <w:t xml:space="preserve"> </w:t>
      </w:r>
      <w:r w:rsidR="00157541">
        <w:rPr>
          <w:rFonts w:ascii="Calibri" w:hAnsi="Calibri"/>
          <w:sz w:val="22"/>
          <w:szCs w:val="22"/>
        </w:rPr>
        <w:t>end of Q</w:t>
      </w:r>
      <w:r w:rsidR="0022318C">
        <w:rPr>
          <w:rFonts w:ascii="Calibri" w:hAnsi="Calibri"/>
          <w:sz w:val="22"/>
          <w:szCs w:val="22"/>
        </w:rPr>
        <w:t>4</w:t>
      </w:r>
      <w:r w:rsidR="00157541">
        <w:rPr>
          <w:rFonts w:ascii="Calibri" w:hAnsi="Calibri"/>
          <w:sz w:val="22"/>
          <w:szCs w:val="22"/>
        </w:rPr>
        <w:t xml:space="preserve"> </w:t>
      </w:r>
      <w:r w:rsidR="000B1B04">
        <w:rPr>
          <w:rFonts w:ascii="Calibri" w:hAnsi="Calibri"/>
          <w:sz w:val="22"/>
          <w:szCs w:val="22"/>
        </w:rPr>
        <w:t>2</w:t>
      </w:r>
      <w:r w:rsidR="00BB0707">
        <w:rPr>
          <w:rFonts w:ascii="Calibri" w:hAnsi="Calibri"/>
          <w:sz w:val="22"/>
          <w:szCs w:val="22"/>
        </w:rPr>
        <w:t>01</w:t>
      </w:r>
      <w:r w:rsidR="00A04A17">
        <w:rPr>
          <w:rFonts w:ascii="Calibri" w:hAnsi="Calibri"/>
          <w:sz w:val="22"/>
          <w:szCs w:val="22"/>
        </w:rPr>
        <w:t>9</w:t>
      </w:r>
      <w:r w:rsidR="00BB0707">
        <w:rPr>
          <w:rFonts w:ascii="Calibri" w:hAnsi="Calibri"/>
          <w:sz w:val="22"/>
          <w:szCs w:val="22"/>
        </w:rPr>
        <w:t xml:space="preserve">. </w:t>
      </w:r>
      <w:r w:rsidR="00FB71DB">
        <w:rPr>
          <w:rFonts w:ascii="Calibri" w:hAnsi="Calibri"/>
          <w:sz w:val="22"/>
          <w:szCs w:val="22"/>
        </w:rPr>
        <w:t>This r</w:t>
      </w:r>
      <w:r w:rsidR="00CE45A6">
        <w:rPr>
          <w:rFonts w:ascii="Calibri" w:hAnsi="Calibri"/>
          <w:sz w:val="22"/>
          <w:szCs w:val="22"/>
        </w:rPr>
        <w:t>epresented a</w:t>
      </w:r>
      <w:r w:rsidR="00A04A17">
        <w:rPr>
          <w:rFonts w:ascii="Calibri" w:hAnsi="Calibri"/>
          <w:sz w:val="22"/>
          <w:szCs w:val="22"/>
        </w:rPr>
        <w:t>n</w:t>
      </w:r>
      <w:r w:rsidR="00CE45A6">
        <w:rPr>
          <w:rFonts w:ascii="Calibri" w:hAnsi="Calibri"/>
          <w:sz w:val="22"/>
          <w:szCs w:val="22"/>
        </w:rPr>
        <w:t xml:space="preserve"> </w:t>
      </w:r>
      <w:r w:rsidR="00A04A17">
        <w:rPr>
          <w:rFonts w:ascii="Calibri" w:hAnsi="Calibri"/>
          <w:sz w:val="22"/>
          <w:szCs w:val="22"/>
        </w:rPr>
        <w:t>in</w:t>
      </w:r>
      <w:r w:rsidR="00CE45A6">
        <w:rPr>
          <w:rFonts w:ascii="Calibri" w:hAnsi="Calibri"/>
          <w:sz w:val="22"/>
          <w:szCs w:val="22"/>
        </w:rPr>
        <w:t xml:space="preserve">crease of </w:t>
      </w:r>
      <w:r w:rsidR="0022318C">
        <w:rPr>
          <w:rFonts w:ascii="Calibri" w:hAnsi="Calibri"/>
          <w:sz w:val="22"/>
          <w:szCs w:val="22"/>
        </w:rPr>
        <w:t>6.4</w:t>
      </w:r>
      <w:r w:rsidR="00FB71DB">
        <w:rPr>
          <w:rFonts w:ascii="Calibri" w:hAnsi="Calibri"/>
          <w:sz w:val="22"/>
          <w:szCs w:val="22"/>
        </w:rPr>
        <w:t xml:space="preserve"> </w:t>
      </w:r>
      <w:r w:rsidR="00723531" w:rsidRPr="003A6E94">
        <w:rPr>
          <w:rFonts w:ascii="Calibri" w:hAnsi="Calibri"/>
          <w:sz w:val="22"/>
          <w:szCs w:val="22"/>
        </w:rPr>
        <w:t>percent</w:t>
      </w:r>
      <w:r w:rsidR="005177D8">
        <w:rPr>
          <w:rFonts w:ascii="Calibri" w:hAnsi="Calibri"/>
          <w:sz w:val="22"/>
          <w:szCs w:val="22"/>
        </w:rPr>
        <w:t xml:space="preserve">. </w:t>
      </w:r>
      <w:r w:rsidR="000D2CDE" w:rsidRPr="003A6E94">
        <w:rPr>
          <w:rFonts w:ascii="Calibri" w:hAnsi="Calibri"/>
          <w:sz w:val="22"/>
          <w:szCs w:val="22"/>
        </w:rPr>
        <w:t xml:space="preserve">The following two graphs </w:t>
      </w:r>
      <w:r w:rsidR="00BF5444">
        <w:rPr>
          <w:rFonts w:ascii="Calibri" w:hAnsi="Calibri"/>
          <w:sz w:val="22"/>
          <w:szCs w:val="22"/>
        </w:rPr>
        <w:t>compare the net asset growth in</w:t>
      </w:r>
      <w:r w:rsidR="000D2CDE" w:rsidRPr="003A6E94">
        <w:rPr>
          <w:rFonts w:ascii="Calibri" w:hAnsi="Calibri"/>
          <w:sz w:val="22"/>
          <w:szCs w:val="22"/>
        </w:rPr>
        <w:t xml:space="preserve"> the s</w:t>
      </w:r>
      <w:r w:rsidR="000C21B2">
        <w:rPr>
          <w:rFonts w:ascii="Calibri" w:hAnsi="Calibri"/>
          <w:sz w:val="22"/>
          <w:szCs w:val="22"/>
        </w:rPr>
        <w:t xml:space="preserve">even </w:t>
      </w:r>
      <w:r w:rsidR="000D2CDE" w:rsidRPr="003A6E94">
        <w:rPr>
          <w:rFonts w:ascii="Calibri" w:hAnsi="Calibri"/>
          <w:sz w:val="22"/>
          <w:szCs w:val="22"/>
        </w:rPr>
        <w:t>largest countries/regions.</w:t>
      </w:r>
    </w:p>
    <w:p w14:paraId="3CEAC677" w14:textId="69C969E1" w:rsidR="000D2CDE" w:rsidRDefault="00A34BE5" w:rsidP="00A91964">
      <w:pPr>
        <w:pStyle w:val="BodyTextIndent"/>
        <w:ind w:left="0"/>
        <w:jc w:val="both"/>
        <w:rPr>
          <w:rFonts w:ascii="Calibri" w:hAnsi="Calibri"/>
          <w:sz w:val="22"/>
          <w:szCs w:val="22"/>
        </w:rPr>
      </w:pPr>
      <w:r>
        <w:rPr>
          <w:rFonts w:ascii="Calibri" w:hAnsi="Calibri"/>
          <w:noProof/>
          <w:sz w:val="22"/>
          <w:szCs w:val="22"/>
        </w:rPr>
        <w:drawing>
          <wp:anchor distT="0" distB="0" distL="114300" distR="114300" simplePos="0" relativeHeight="251739648" behindDoc="0" locked="0" layoutInCell="1" allowOverlap="1" wp14:anchorId="5A73F416" wp14:editId="78D23488">
            <wp:simplePos x="0" y="0"/>
            <wp:positionH relativeFrom="margin">
              <wp:align>center</wp:align>
            </wp:positionH>
            <wp:positionV relativeFrom="paragraph">
              <wp:posOffset>127635</wp:posOffset>
            </wp:positionV>
            <wp:extent cx="5323985" cy="3506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3985" cy="3506400"/>
                    </a:xfrm>
                    <a:prstGeom prst="rect">
                      <a:avLst/>
                    </a:prstGeom>
                    <a:noFill/>
                  </pic:spPr>
                </pic:pic>
              </a:graphicData>
            </a:graphic>
          </wp:anchor>
        </w:drawing>
      </w:r>
    </w:p>
    <w:p w14:paraId="15CCA9E3" w14:textId="3174D2D8" w:rsidR="00F7172A" w:rsidRPr="00F7172A" w:rsidRDefault="00F7172A" w:rsidP="00C26954">
      <w:pPr>
        <w:pStyle w:val="BodyTextIndent"/>
        <w:ind w:left="0"/>
        <w:jc w:val="right"/>
        <w:rPr>
          <w:rFonts w:ascii="Calibri" w:hAnsi="Calibri"/>
          <w:sz w:val="22"/>
          <w:szCs w:val="22"/>
        </w:rPr>
      </w:pPr>
    </w:p>
    <w:p w14:paraId="679E1718" w14:textId="7AF46FCA" w:rsidR="00FB0CF0" w:rsidRDefault="00FB0CF0" w:rsidP="00A91964">
      <w:pPr>
        <w:pStyle w:val="BodyTextIndent"/>
        <w:spacing w:after="0" w:line="300" w:lineRule="exact"/>
        <w:ind w:left="0"/>
        <w:jc w:val="both"/>
      </w:pPr>
    </w:p>
    <w:p w14:paraId="36E8E550" w14:textId="4EA3691E" w:rsidR="00FB0CF0" w:rsidRDefault="00FB0CF0" w:rsidP="00A91964">
      <w:pPr>
        <w:pStyle w:val="BodyTextIndent"/>
        <w:spacing w:after="0" w:line="300" w:lineRule="exact"/>
        <w:ind w:left="0"/>
        <w:jc w:val="both"/>
      </w:pPr>
    </w:p>
    <w:p w14:paraId="1FB1EFA1" w14:textId="06EF4A07" w:rsidR="00FB0CF0" w:rsidRDefault="00FB0CF0" w:rsidP="00A91964">
      <w:pPr>
        <w:pStyle w:val="BodyTextIndent"/>
        <w:spacing w:after="0" w:line="300" w:lineRule="exact"/>
        <w:ind w:left="0"/>
        <w:jc w:val="both"/>
      </w:pPr>
    </w:p>
    <w:p w14:paraId="0842A47F" w14:textId="22B0CDAC" w:rsidR="00FB0CF0" w:rsidRDefault="00FB0CF0" w:rsidP="00A91964">
      <w:pPr>
        <w:pStyle w:val="BodyTextIndent"/>
        <w:spacing w:after="0" w:line="300" w:lineRule="exact"/>
        <w:ind w:left="0"/>
        <w:jc w:val="both"/>
      </w:pPr>
    </w:p>
    <w:p w14:paraId="7FAD47AB" w14:textId="09D249FE" w:rsidR="0030210E" w:rsidRDefault="0030210E" w:rsidP="00A91964">
      <w:pPr>
        <w:pStyle w:val="BodyTextIndent"/>
        <w:ind w:left="0"/>
        <w:jc w:val="both"/>
      </w:pPr>
    </w:p>
    <w:p w14:paraId="35A3596B" w14:textId="4A179589" w:rsidR="0030210E" w:rsidRPr="009C04CF" w:rsidRDefault="0030210E" w:rsidP="00A91964">
      <w:pPr>
        <w:pStyle w:val="BodyTextIndent"/>
        <w:ind w:left="0"/>
        <w:jc w:val="both"/>
      </w:pPr>
    </w:p>
    <w:p w14:paraId="56AA1FBB" w14:textId="7A34B759" w:rsidR="00206C8D" w:rsidRDefault="00206C8D" w:rsidP="00A91964">
      <w:pPr>
        <w:pStyle w:val="BodyTextIndent"/>
        <w:ind w:left="0"/>
        <w:jc w:val="both"/>
      </w:pPr>
    </w:p>
    <w:p w14:paraId="57903C2C" w14:textId="796C0D90" w:rsidR="00206C8D" w:rsidRDefault="00206C8D" w:rsidP="00A91964">
      <w:pPr>
        <w:pStyle w:val="BodyTextIndent"/>
        <w:ind w:left="0"/>
        <w:jc w:val="both"/>
      </w:pPr>
    </w:p>
    <w:p w14:paraId="53614BC2" w14:textId="1618A468" w:rsidR="0030210E" w:rsidRDefault="0030210E" w:rsidP="00A91964">
      <w:pPr>
        <w:pStyle w:val="BodyTextIndent"/>
        <w:ind w:left="0"/>
        <w:jc w:val="both"/>
      </w:pPr>
    </w:p>
    <w:p w14:paraId="56A44145" w14:textId="045C9B5A" w:rsidR="0030210E" w:rsidRDefault="0030210E" w:rsidP="00A91964">
      <w:pPr>
        <w:pStyle w:val="BodyTextIndent"/>
        <w:ind w:left="0"/>
        <w:jc w:val="both"/>
      </w:pPr>
    </w:p>
    <w:p w14:paraId="7668CE34" w14:textId="7000387F" w:rsidR="0030210E" w:rsidRDefault="0030210E" w:rsidP="00A91964">
      <w:pPr>
        <w:pStyle w:val="BodyTextIndent"/>
        <w:ind w:left="0"/>
        <w:jc w:val="both"/>
      </w:pPr>
    </w:p>
    <w:p w14:paraId="2DBB8E70" w14:textId="095754EE" w:rsidR="00206C8D" w:rsidRDefault="00206C8D" w:rsidP="00A91964">
      <w:pPr>
        <w:pStyle w:val="BodyTextIndent"/>
        <w:ind w:left="0"/>
        <w:jc w:val="both"/>
      </w:pPr>
    </w:p>
    <w:p w14:paraId="0F5427BF" w14:textId="7F93E91C" w:rsidR="00F7172A" w:rsidRDefault="00F7172A" w:rsidP="00A91964">
      <w:pPr>
        <w:pStyle w:val="BodyTextIndent"/>
        <w:ind w:left="0"/>
        <w:jc w:val="both"/>
      </w:pPr>
    </w:p>
    <w:p w14:paraId="2A8581AF" w14:textId="22383852" w:rsidR="000D2CDE" w:rsidRDefault="000D2CDE" w:rsidP="00A91964">
      <w:pPr>
        <w:pStyle w:val="BodyTextIndent"/>
        <w:ind w:left="0"/>
        <w:jc w:val="both"/>
      </w:pPr>
    </w:p>
    <w:p w14:paraId="5ECCF25C" w14:textId="6494142D" w:rsidR="000D2CDE" w:rsidRDefault="00A04FCA" w:rsidP="00A91964">
      <w:pPr>
        <w:pStyle w:val="BodyTextIndent"/>
        <w:ind w:left="0"/>
        <w:jc w:val="both"/>
      </w:pPr>
      <w:r w:rsidRPr="00A04FCA">
        <w:t xml:space="preserve">  </w:t>
      </w:r>
    </w:p>
    <w:p w14:paraId="777AA0D0" w14:textId="1FD6E9C0" w:rsidR="000D2CDE" w:rsidRDefault="00A34BE5" w:rsidP="00A91964">
      <w:pPr>
        <w:pStyle w:val="BodyTextIndent"/>
        <w:ind w:left="0"/>
        <w:jc w:val="both"/>
      </w:pPr>
      <w:r w:rsidRPr="00A34BE5">
        <w:rPr>
          <w:noProof/>
        </w:rPr>
        <w:drawing>
          <wp:anchor distT="0" distB="0" distL="114300" distR="114300" simplePos="0" relativeHeight="251740672" behindDoc="0" locked="0" layoutInCell="1" allowOverlap="1" wp14:anchorId="3227D1F9" wp14:editId="1A948066">
            <wp:simplePos x="0" y="0"/>
            <wp:positionH relativeFrom="margin">
              <wp:align>center</wp:align>
            </wp:positionH>
            <wp:positionV relativeFrom="paragraph">
              <wp:posOffset>5080</wp:posOffset>
            </wp:positionV>
            <wp:extent cx="5695851" cy="3535200"/>
            <wp:effectExtent l="0" t="0" r="63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851" cy="353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85342" w14:textId="384254F8" w:rsidR="0030210E" w:rsidRDefault="0030210E" w:rsidP="00A91964">
      <w:pPr>
        <w:pStyle w:val="BodyTextIndent"/>
        <w:ind w:left="0"/>
        <w:jc w:val="both"/>
      </w:pPr>
    </w:p>
    <w:p w14:paraId="411EE304" w14:textId="48AD77B4" w:rsidR="0030210E" w:rsidRDefault="0030210E" w:rsidP="00A91964">
      <w:pPr>
        <w:pStyle w:val="BodyTextIndent"/>
        <w:ind w:left="0"/>
        <w:jc w:val="both"/>
      </w:pPr>
    </w:p>
    <w:p w14:paraId="58F7FAB3" w14:textId="0C9807A1" w:rsidR="0030210E" w:rsidRDefault="0030210E" w:rsidP="00A91964">
      <w:pPr>
        <w:pStyle w:val="BodyTextIndent"/>
        <w:ind w:left="0"/>
        <w:jc w:val="both"/>
      </w:pPr>
    </w:p>
    <w:p w14:paraId="3C599499" w14:textId="03FC4CC9" w:rsidR="00FB0CF0" w:rsidRDefault="00FB0CF0" w:rsidP="00A91964">
      <w:pPr>
        <w:pStyle w:val="BodyTextIndent"/>
        <w:ind w:left="0"/>
        <w:jc w:val="both"/>
      </w:pPr>
    </w:p>
    <w:p w14:paraId="53A676D1" w14:textId="77777777" w:rsidR="00FB0CF0" w:rsidRDefault="00FB0CF0" w:rsidP="00A91964">
      <w:pPr>
        <w:pStyle w:val="BodyTextIndent"/>
        <w:ind w:left="0"/>
        <w:jc w:val="both"/>
      </w:pPr>
    </w:p>
    <w:p w14:paraId="34290379" w14:textId="77777777" w:rsidR="00FB0CF0" w:rsidRDefault="00FB0CF0" w:rsidP="00A91964">
      <w:pPr>
        <w:pStyle w:val="BodyTextIndent"/>
        <w:ind w:left="0"/>
        <w:jc w:val="both"/>
      </w:pPr>
    </w:p>
    <w:p w14:paraId="247700BE" w14:textId="77777777" w:rsidR="00FB0CF0" w:rsidRDefault="00FB0CF0" w:rsidP="00A91964">
      <w:pPr>
        <w:pStyle w:val="BodyTextIndent"/>
        <w:ind w:left="0"/>
        <w:jc w:val="both"/>
      </w:pPr>
    </w:p>
    <w:p w14:paraId="04642CF4" w14:textId="77777777" w:rsidR="00FB0CF0" w:rsidRDefault="00FB0CF0" w:rsidP="00A91964">
      <w:pPr>
        <w:pStyle w:val="BodyTextIndent"/>
        <w:ind w:left="0"/>
        <w:jc w:val="both"/>
      </w:pPr>
    </w:p>
    <w:p w14:paraId="121D3B66" w14:textId="77777777" w:rsidR="00FB0CF0" w:rsidRDefault="00FB0CF0" w:rsidP="00A91964">
      <w:pPr>
        <w:pStyle w:val="BodyTextIndent"/>
        <w:ind w:left="0"/>
        <w:jc w:val="both"/>
      </w:pPr>
    </w:p>
    <w:p w14:paraId="067C78B9" w14:textId="77777777" w:rsidR="00FB0CF0" w:rsidRDefault="00FB0CF0" w:rsidP="00A91964">
      <w:pPr>
        <w:pStyle w:val="BodyTextIndent"/>
        <w:ind w:left="0"/>
        <w:jc w:val="both"/>
      </w:pPr>
    </w:p>
    <w:p w14:paraId="702FFB50" w14:textId="77777777" w:rsidR="00FB0CF0" w:rsidRDefault="00FB0CF0" w:rsidP="00A91964">
      <w:pPr>
        <w:pStyle w:val="BodyTextIndent"/>
        <w:ind w:left="0"/>
        <w:jc w:val="both"/>
      </w:pPr>
    </w:p>
    <w:p w14:paraId="7BC92F69" w14:textId="77777777" w:rsidR="00FB0CF0" w:rsidRDefault="00FB0CF0" w:rsidP="00A91964">
      <w:pPr>
        <w:pStyle w:val="BodyTextIndent"/>
        <w:ind w:left="0"/>
        <w:jc w:val="both"/>
      </w:pPr>
    </w:p>
    <w:p w14:paraId="702CB904" w14:textId="77777777" w:rsidR="00FB0CF0" w:rsidRDefault="00FB0CF0" w:rsidP="00A91964">
      <w:pPr>
        <w:pStyle w:val="BodyTextIndent"/>
        <w:ind w:left="0"/>
        <w:jc w:val="both"/>
      </w:pPr>
    </w:p>
    <w:p w14:paraId="7EC2C19D" w14:textId="77777777" w:rsidR="00FB0CF0" w:rsidRDefault="00FB0CF0" w:rsidP="00A91964">
      <w:pPr>
        <w:pStyle w:val="BodyTextIndent"/>
        <w:ind w:left="0"/>
        <w:jc w:val="both"/>
      </w:pPr>
    </w:p>
    <w:p w14:paraId="108AAB49" w14:textId="77777777" w:rsidR="00A83543" w:rsidRDefault="00A83543" w:rsidP="00A91964">
      <w:pPr>
        <w:pStyle w:val="BodyTextIndent"/>
        <w:spacing w:after="0" w:line="300" w:lineRule="exact"/>
        <w:ind w:left="0"/>
        <w:jc w:val="both"/>
        <w:rPr>
          <w:rFonts w:ascii="Calibri" w:hAnsi="Calibri"/>
          <w:sz w:val="22"/>
          <w:szCs w:val="22"/>
        </w:rPr>
      </w:pPr>
    </w:p>
    <w:p w14:paraId="32D9BDC0" w14:textId="5FECB50B" w:rsidR="008E1CAD" w:rsidRDefault="00E525A1" w:rsidP="00A91964">
      <w:pPr>
        <w:pStyle w:val="BodyTextIndent"/>
        <w:spacing w:after="0" w:line="300" w:lineRule="exact"/>
        <w:ind w:left="0"/>
        <w:jc w:val="both"/>
        <w:rPr>
          <w:rFonts w:ascii="Calibri" w:hAnsi="Calibri"/>
          <w:sz w:val="22"/>
          <w:szCs w:val="22"/>
        </w:rPr>
      </w:pPr>
      <w:r>
        <w:rPr>
          <w:rFonts w:ascii="Calibri" w:hAnsi="Calibri"/>
          <w:sz w:val="22"/>
          <w:szCs w:val="22"/>
        </w:rPr>
        <w:lastRenderedPageBreak/>
        <w:t>On a euro-</w:t>
      </w:r>
      <w:r w:rsidR="008E1CAD" w:rsidRPr="00CD6514">
        <w:rPr>
          <w:rFonts w:ascii="Calibri" w:hAnsi="Calibri"/>
          <w:sz w:val="22"/>
          <w:szCs w:val="22"/>
        </w:rPr>
        <w:t xml:space="preserve">denominated basis, </w:t>
      </w:r>
      <w:r w:rsidR="004818DA">
        <w:rPr>
          <w:rFonts w:ascii="Calibri" w:hAnsi="Calibri"/>
          <w:sz w:val="22"/>
          <w:szCs w:val="22"/>
        </w:rPr>
        <w:t xml:space="preserve">worldwide </w:t>
      </w:r>
      <w:r w:rsidR="008E1CAD" w:rsidRPr="00CD6514">
        <w:rPr>
          <w:rFonts w:ascii="Calibri" w:hAnsi="Calibri"/>
          <w:sz w:val="22"/>
          <w:szCs w:val="22"/>
        </w:rPr>
        <w:t xml:space="preserve">equity fund assets </w:t>
      </w:r>
      <w:r w:rsidR="00040DA4">
        <w:rPr>
          <w:rFonts w:ascii="Calibri" w:hAnsi="Calibri"/>
          <w:sz w:val="22"/>
          <w:szCs w:val="22"/>
        </w:rPr>
        <w:t>in</w:t>
      </w:r>
      <w:r w:rsidR="009249A3">
        <w:rPr>
          <w:rFonts w:ascii="Calibri" w:hAnsi="Calibri"/>
          <w:sz w:val="22"/>
          <w:szCs w:val="22"/>
        </w:rPr>
        <w:t>creased</w:t>
      </w:r>
      <w:r w:rsidR="008E1CAD" w:rsidRPr="00CD6514">
        <w:rPr>
          <w:rFonts w:ascii="Calibri" w:hAnsi="Calibri"/>
          <w:sz w:val="22"/>
          <w:szCs w:val="22"/>
        </w:rPr>
        <w:t xml:space="preserve"> </w:t>
      </w:r>
      <w:r w:rsidR="007A7CF2">
        <w:rPr>
          <w:rFonts w:ascii="Calibri" w:hAnsi="Calibri"/>
          <w:sz w:val="22"/>
          <w:szCs w:val="22"/>
        </w:rPr>
        <w:t xml:space="preserve">by </w:t>
      </w:r>
      <w:r w:rsidR="0022318C">
        <w:rPr>
          <w:rFonts w:ascii="Calibri" w:hAnsi="Calibri"/>
          <w:sz w:val="22"/>
          <w:szCs w:val="22"/>
        </w:rPr>
        <w:t>5</w:t>
      </w:r>
      <w:r w:rsidR="00EB3CF0">
        <w:rPr>
          <w:rFonts w:ascii="Calibri" w:hAnsi="Calibri"/>
          <w:sz w:val="22"/>
          <w:szCs w:val="22"/>
        </w:rPr>
        <w:t xml:space="preserve"> </w:t>
      </w:r>
      <w:r w:rsidR="008E1CAD" w:rsidRPr="00CD6514">
        <w:rPr>
          <w:rFonts w:ascii="Calibri" w:hAnsi="Calibri"/>
          <w:sz w:val="22"/>
          <w:szCs w:val="22"/>
        </w:rPr>
        <w:t xml:space="preserve">percent to </w:t>
      </w:r>
      <w:r w:rsidR="0023103C">
        <w:rPr>
          <w:rFonts w:ascii="Calibri" w:hAnsi="Calibri"/>
          <w:sz w:val="22"/>
          <w:szCs w:val="22"/>
        </w:rPr>
        <w:t xml:space="preserve">EUR </w:t>
      </w:r>
      <w:r w:rsidR="0022318C">
        <w:rPr>
          <w:rFonts w:ascii="Calibri" w:hAnsi="Calibri"/>
          <w:sz w:val="22"/>
          <w:szCs w:val="22"/>
        </w:rPr>
        <w:t>22.2</w:t>
      </w:r>
      <w:r w:rsidR="009F5AFB">
        <w:rPr>
          <w:rFonts w:ascii="Calibri" w:hAnsi="Calibri"/>
          <w:sz w:val="22"/>
          <w:szCs w:val="22"/>
        </w:rPr>
        <w:t xml:space="preserve"> trillion at the </w:t>
      </w:r>
      <w:r w:rsidR="00157541">
        <w:rPr>
          <w:rFonts w:ascii="Calibri" w:hAnsi="Calibri"/>
          <w:sz w:val="22"/>
          <w:szCs w:val="22"/>
        </w:rPr>
        <w:t xml:space="preserve">end of the </w:t>
      </w:r>
      <w:r w:rsidR="0022318C">
        <w:rPr>
          <w:rFonts w:ascii="Calibri" w:hAnsi="Calibri"/>
          <w:sz w:val="22"/>
          <w:szCs w:val="22"/>
        </w:rPr>
        <w:t>fourth</w:t>
      </w:r>
      <w:r w:rsidR="000364F8">
        <w:rPr>
          <w:rFonts w:ascii="Calibri" w:hAnsi="Calibri"/>
          <w:sz w:val="22"/>
          <w:szCs w:val="22"/>
        </w:rPr>
        <w:t xml:space="preserve"> </w:t>
      </w:r>
      <w:r w:rsidR="00F54571">
        <w:rPr>
          <w:rFonts w:ascii="Calibri" w:hAnsi="Calibri"/>
          <w:sz w:val="22"/>
          <w:szCs w:val="22"/>
        </w:rPr>
        <w:t xml:space="preserve">quarter </w:t>
      </w:r>
      <w:r w:rsidR="00F54571" w:rsidRPr="003A6E94">
        <w:rPr>
          <w:rFonts w:ascii="Calibri" w:hAnsi="Calibri"/>
          <w:sz w:val="22"/>
          <w:szCs w:val="22"/>
        </w:rPr>
        <w:t xml:space="preserve">of </w:t>
      </w:r>
      <w:r w:rsidR="00F54571">
        <w:rPr>
          <w:rFonts w:ascii="Calibri" w:hAnsi="Calibri"/>
          <w:sz w:val="22"/>
          <w:szCs w:val="22"/>
        </w:rPr>
        <w:t>201</w:t>
      </w:r>
      <w:r w:rsidR="00A04A17">
        <w:rPr>
          <w:rFonts w:ascii="Calibri" w:hAnsi="Calibri"/>
          <w:sz w:val="22"/>
          <w:szCs w:val="22"/>
        </w:rPr>
        <w:t>9</w:t>
      </w:r>
      <w:r w:rsidR="00F7172A">
        <w:rPr>
          <w:rFonts w:ascii="Calibri" w:hAnsi="Calibri"/>
          <w:sz w:val="22"/>
          <w:szCs w:val="22"/>
        </w:rPr>
        <w:t>.</w:t>
      </w:r>
      <w:r w:rsidR="008E1CAD" w:rsidRPr="00CD6514">
        <w:rPr>
          <w:rFonts w:ascii="Calibri" w:hAnsi="Calibri"/>
          <w:sz w:val="22"/>
          <w:szCs w:val="22"/>
        </w:rPr>
        <w:t xml:space="preserve"> </w:t>
      </w:r>
      <w:r w:rsidR="00FB05CB">
        <w:rPr>
          <w:rFonts w:ascii="Calibri" w:hAnsi="Calibri"/>
          <w:sz w:val="22"/>
          <w:szCs w:val="22"/>
        </w:rPr>
        <w:t>Bon</w:t>
      </w:r>
      <w:r w:rsidR="007A7CF2">
        <w:rPr>
          <w:rFonts w:ascii="Calibri" w:hAnsi="Calibri"/>
          <w:sz w:val="22"/>
          <w:szCs w:val="22"/>
        </w:rPr>
        <w:t>d fund assets</w:t>
      </w:r>
      <w:r w:rsidR="00136C74">
        <w:rPr>
          <w:rFonts w:ascii="Calibri" w:hAnsi="Calibri"/>
          <w:sz w:val="22"/>
          <w:szCs w:val="22"/>
        </w:rPr>
        <w:t xml:space="preserve"> </w:t>
      </w:r>
      <w:r w:rsidR="00040DA4">
        <w:rPr>
          <w:rFonts w:ascii="Calibri" w:hAnsi="Calibri"/>
          <w:sz w:val="22"/>
          <w:szCs w:val="22"/>
        </w:rPr>
        <w:t>in</w:t>
      </w:r>
      <w:r w:rsidR="00F54571">
        <w:rPr>
          <w:rFonts w:ascii="Calibri" w:hAnsi="Calibri"/>
          <w:sz w:val="22"/>
          <w:szCs w:val="22"/>
        </w:rPr>
        <w:t xml:space="preserve">creased </w:t>
      </w:r>
      <w:r w:rsidR="007A7CF2">
        <w:rPr>
          <w:rFonts w:ascii="Calibri" w:hAnsi="Calibri"/>
          <w:sz w:val="22"/>
          <w:szCs w:val="22"/>
        </w:rPr>
        <w:t xml:space="preserve">by </w:t>
      </w:r>
      <w:r w:rsidR="0022318C">
        <w:rPr>
          <w:rFonts w:ascii="Calibri" w:hAnsi="Calibri"/>
          <w:sz w:val="22"/>
          <w:szCs w:val="22"/>
        </w:rPr>
        <w:t>0.3</w:t>
      </w:r>
      <w:r w:rsidR="007A7CF2">
        <w:rPr>
          <w:rFonts w:ascii="Calibri" w:hAnsi="Calibri"/>
          <w:sz w:val="22"/>
          <w:szCs w:val="22"/>
        </w:rPr>
        <w:t xml:space="preserve"> percent</w:t>
      </w:r>
      <w:r w:rsidR="00F54571">
        <w:rPr>
          <w:rFonts w:ascii="Calibri" w:hAnsi="Calibri"/>
          <w:sz w:val="22"/>
          <w:szCs w:val="22"/>
        </w:rPr>
        <w:t xml:space="preserve"> to </w:t>
      </w:r>
      <w:r w:rsidR="00FB05CB">
        <w:rPr>
          <w:rFonts w:ascii="Calibri" w:hAnsi="Calibri"/>
          <w:sz w:val="22"/>
          <w:szCs w:val="22"/>
        </w:rPr>
        <w:t xml:space="preserve">EUR </w:t>
      </w:r>
      <w:r w:rsidR="0022318C">
        <w:rPr>
          <w:rFonts w:ascii="Calibri" w:hAnsi="Calibri"/>
          <w:sz w:val="22"/>
          <w:szCs w:val="22"/>
        </w:rPr>
        <w:t>11</w:t>
      </w:r>
      <w:r w:rsidR="00FB05CB" w:rsidRPr="00CD6514">
        <w:rPr>
          <w:rFonts w:ascii="Calibri" w:hAnsi="Calibri"/>
          <w:sz w:val="22"/>
          <w:szCs w:val="22"/>
        </w:rPr>
        <w:t xml:space="preserve"> trillion</w:t>
      </w:r>
      <w:r w:rsidR="00FB05CB">
        <w:rPr>
          <w:rFonts w:ascii="Calibri" w:hAnsi="Calibri"/>
          <w:sz w:val="22"/>
          <w:szCs w:val="22"/>
        </w:rPr>
        <w:t xml:space="preserve">. </w:t>
      </w:r>
      <w:r w:rsidR="008E1CAD" w:rsidRPr="00CD6514">
        <w:rPr>
          <w:rFonts w:ascii="Calibri" w:hAnsi="Calibri"/>
          <w:sz w:val="22"/>
          <w:szCs w:val="22"/>
        </w:rPr>
        <w:t xml:space="preserve">Balanced/mixed fund assets </w:t>
      </w:r>
      <w:r w:rsidR="00040DA4">
        <w:rPr>
          <w:rFonts w:ascii="Calibri" w:hAnsi="Calibri"/>
          <w:sz w:val="22"/>
          <w:szCs w:val="22"/>
        </w:rPr>
        <w:t>in</w:t>
      </w:r>
      <w:r w:rsidR="009249A3">
        <w:rPr>
          <w:rFonts w:ascii="Calibri" w:hAnsi="Calibri"/>
          <w:sz w:val="22"/>
          <w:szCs w:val="22"/>
        </w:rPr>
        <w:t>creased</w:t>
      </w:r>
      <w:r w:rsidR="00936F38">
        <w:rPr>
          <w:rFonts w:ascii="Calibri" w:hAnsi="Calibri"/>
          <w:sz w:val="22"/>
          <w:szCs w:val="22"/>
        </w:rPr>
        <w:t xml:space="preserve"> </w:t>
      </w:r>
      <w:r w:rsidR="00B15BDB">
        <w:rPr>
          <w:rFonts w:ascii="Calibri" w:hAnsi="Calibri"/>
          <w:sz w:val="22"/>
          <w:szCs w:val="22"/>
        </w:rPr>
        <w:t xml:space="preserve">by </w:t>
      </w:r>
      <w:r w:rsidR="0022318C">
        <w:rPr>
          <w:rFonts w:ascii="Calibri" w:hAnsi="Calibri"/>
          <w:sz w:val="22"/>
          <w:szCs w:val="22"/>
        </w:rPr>
        <w:t xml:space="preserve">2.7 </w:t>
      </w:r>
      <w:r w:rsidR="00F85E57">
        <w:rPr>
          <w:rFonts w:ascii="Calibri" w:hAnsi="Calibri"/>
          <w:sz w:val="22"/>
          <w:szCs w:val="22"/>
        </w:rPr>
        <w:t xml:space="preserve">percent </w:t>
      </w:r>
      <w:r w:rsidR="008E1CAD" w:rsidRPr="00CD6514">
        <w:rPr>
          <w:rFonts w:ascii="Calibri" w:hAnsi="Calibri"/>
          <w:sz w:val="22"/>
          <w:szCs w:val="22"/>
        </w:rPr>
        <w:t xml:space="preserve">to </w:t>
      </w:r>
      <w:r w:rsidR="0023103C">
        <w:rPr>
          <w:rFonts w:ascii="Calibri" w:hAnsi="Calibri"/>
          <w:sz w:val="22"/>
          <w:szCs w:val="22"/>
        </w:rPr>
        <w:t xml:space="preserve">EUR </w:t>
      </w:r>
      <w:r w:rsidR="0022318C">
        <w:rPr>
          <w:rFonts w:ascii="Calibri" w:hAnsi="Calibri"/>
          <w:sz w:val="22"/>
          <w:szCs w:val="22"/>
        </w:rPr>
        <w:t>9.1</w:t>
      </w:r>
      <w:r w:rsidR="000C21B2">
        <w:rPr>
          <w:rFonts w:ascii="Calibri" w:hAnsi="Calibri"/>
          <w:sz w:val="22"/>
          <w:szCs w:val="22"/>
        </w:rPr>
        <w:t xml:space="preserve"> trillion.</w:t>
      </w:r>
      <w:r w:rsidR="008E1CAD" w:rsidRPr="00CD6514">
        <w:rPr>
          <w:rFonts w:ascii="Calibri" w:hAnsi="Calibri"/>
          <w:sz w:val="22"/>
          <w:szCs w:val="22"/>
        </w:rPr>
        <w:t xml:space="preserve"> </w:t>
      </w:r>
      <w:r w:rsidR="000C21B2">
        <w:rPr>
          <w:rFonts w:ascii="Calibri" w:hAnsi="Calibri"/>
          <w:sz w:val="22"/>
          <w:szCs w:val="22"/>
        </w:rPr>
        <w:t>M</w:t>
      </w:r>
      <w:r w:rsidR="00AB4E35">
        <w:rPr>
          <w:rFonts w:ascii="Calibri" w:hAnsi="Calibri"/>
          <w:sz w:val="22"/>
          <w:szCs w:val="22"/>
        </w:rPr>
        <w:t xml:space="preserve">oney market fund </w:t>
      </w:r>
      <w:r w:rsidR="00ED71FF">
        <w:rPr>
          <w:rFonts w:ascii="Calibri" w:hAnsi="Calibri"/>
          <w:sz w:val="22"/>
          <w:szCs w:val="22"/>
        </w:rPr>
        <w:t>assets</w:t>
      </w:r>
      <w:r w:rsidR="00040DA4">
        <w:rPr>
          <w:rFonts w:ascii="Calibri" w:hAnsi="Calibri"/>
          <w:sz w:val="22"/>
          <w:szCs w:val="22"/>
        </w:rPr>
        <w:t xml:space="preserve"> </w:t>
      </w:r>
      <w:r w:rsidR="000364F8">
        <w:rPr>
          <w:rFonts w:ascii="Calibri" w:hAnsi="Calibri"/>
          <w:sz w:val="22"/>
          <w:szCs w:val="22"/>
        </w:rPr>
        <w:t>in</w:t>
      </w:r>
      <w:r w:rsidR="00040DA4">
        <w:rPr>
          <w:rFonts w:ascii="Calibri" w:hAnsi="Calibri"/>
          <w:sz w:val="22"/>
          <w:szCs w:val="22"/>
        </w:rPr>
        <w:t>creased</w:t>
      </w:r>
      <w:r w:rsidR="007A7CF2">
        <w:rPr>
          <w:rFonts w:ascii="Calibri" w:hAnsi="Calibri"/>
          <w:sz w:val="22"/>
          <w:szCs w:val="22"/>
        </w:rPr>
        <w:t xml:space="preserve"> by </w:t>
      </w:r>
      <w:r w:rsidR="0022318C">
        <w:rPr>
          <w:rFonts w:ascii="Calibri" w:hAnsi="Calibri"/>
          <w:sz w:val="22"/>
          <w:szCs w:val="22"/>
        </w:rPr>
        <w:t xml:space="preserve">1.5 </w:t>
      </w:r>
      <w:r w:rsidR="007A7CF2">
        <w:rPr>
          <w:rFonts w:ascii="Calibri" w:hAnsi="Calibri"/>
          <w:sz w:val="22"/>
          <w:szCs w:val="22"/>
        </w:rPr>
        <w:t xml:space="preserve">percent </w:t>
      </w:r>
      <w:r w:rsidR="00040DA4">
        <w:rPr>
          <w:rFonts w:ascii="Calibri" w:hAnsi="Calibri"/>
          <w:sz w:val="22"/>
          <w:szCs w:val="22"/>
        </w:rPr>
        <w:t xml:space="preserve">to </w:t>
      </w:r>
      <w:r w:rsidR="000364F8">
        <w:rPr>
          <w:rFonts w:ascii="Calibri" w:hAnsi="Calibri"/>
          <w:sz w:val="22"/>
          <w:szCs w:val="22"/>
        </w:rPr>
        <w:t>6.</w:t>
      </w:r>
      <w:r w:rsidR="00F2133F">
        <w:rPr>
          <w:rFonts w:ascii="Calibri" w:hAnsi="Calibri"/>
          <w:sz w:val="22"/>
          <w:szCs w:val="22"/>
        </w:rPr>
        <w:t>2</w:t>
      </w:r>
      <w:r w:rsidR="00040DA4">
        <w:rPr>
          <w:rFonts w:ascii="Calibri" w:hAnsi="Calibri"/>
          <w:sz w:val="22"/>
          <w:szCs w:val="22"/>
        </w:rPr>
        <w:t xml:space="preserve"> trillion at </w:t>
      </w:r>
      <w:r w:rsidR="000C21B2">
        <w:rPr>
          <w:rFonts w:ascii="Calibri" w:hAnsi="Calibri"/>
          <w:sz w:val="22"/>
          <w:szCs w:val="22"/>
        </w:rPr>
        <w:t xml:space="preserve">the end of </w:t>
      </w:r>
      <w:r w:rsidR="00157541">
        <w:rPr>
          <w:rFonts w:ascii="Calibri" w:hAnsi="Calibri"/>
          <w:sz w:val="22"/>
          <w:szCs w:val="22"/>
        </w:rPr>
        <w:t>Q</w:t>
      </w:r>
      <w:r w:rsidR="00F2133F">
        <w:rPr>
          <w:rFonts w:ascii="Calibri" w:hAnsi="Calibri"/>
          <w:sz w:val="22"/>
          <w:szCs w:val="22"/>
        </w:rPr>
        <w:t>4</w:t>
      </w:r>
      <w:r w:rsidR="00040DA4" w:rsidRPr="003A6E94">
        <w:rPr>
          <w:rFonts w:ascii="Calibri" w:hAnsi="Calibri"/>
          <w:sz w:val="22"/>
          <w:szCs w:val="22"/>
        </w:rPr>
        <w:t xml:space="preserve"> </w:t>
      </w:r>
      <w:r w:rsidR="00040DA4">
        <w:rPr>
          <w:rFonts w:ascii="Calibri" w:hAnsi="Calibri"/>
          <w:sz w:val="22"/>
          <w:szCs w:val="22"/>
        </w:rPr>
        <w:t>201</w:t>
      </w:r>
      <w:r w:rsidR="004C3B5B">
        <w:rPr>
          <w:rFonts w:ascii="Calibri" w:hAnsi="Calibri"/>
          <w:sz w:val="22"/>
          <w:szCs w:val="22"/>
        </w:rPr>
        <w:t>9</w:t>
      </w:r>
      <w:r w:rsidR="008E1CAD" w:rsidRPr="00CD6514">
        <w:rPr>
          <w:rFonts w:ascii="Calibri" w:hAnsi="Calibri"/>
          <w:sz w:val="22"/>
          <w:szCs w:val="22"/>
        </w:rPr>
        <w:t>.</w:t>
      </w:r>
      <w:r w:rsidR="008D587A">
        <w:rPr>
          <w:rFonts w:ascii="Calibri" w:hAnsi="Calibri"/>
          <w:sz w:val="22"/>
          <w:szCs w:val="22"/>
        </w:rPr>
        <w:t xml:space="preserve"> </w:t>
      </w:r>
    </w:p>
    <w:p w14:paraId="66514B5C" w14:textId="584547D4" w:rsidR="008D587A" w:rsidRPr="004C3B5B" w:rsidRDefault="00A34BE5" w:rsidP="00A91964">
      <w:pPr>
        <w:pStyle w:val="BodyTextIndent"/>
        <w:spacing w:after="0" w:line="300" w:lineRule="exact"/>
        <w:ind w:left="0"/>
        <w:jc w:val="both"/>
        <w:rPr>
          <w:noProof/>
        </w:rPr>
      </w:pPr>
      <w:r w:rsidRPr="00A34BE5">
        <w:rPr>
          <w:noProof/>
        </w:rPr>
        <w:drawing>
          <wp:anchor distT="0" distB="0" distL="114300" distR="114300" simplePos="0" relativeHeight="251741696" behindDoc="0" locked="0" layoutInCell="1" allowOverlap="1" wp14:anchorId="4028DF5B" wp14:editId="09500995">
            <wp:simplePos x="0" y="0"/>
            <wp:positionH relativeFrom="margin">
              <wp:align>center</wp:align>
            </wp:positionH>
            <wp:positionV relativeFrom="paragraph">
              <wp:posOffset>169740</wp:posOffset>
            </wp:positionV>
            <wp:extent cx="6629296" cy="252000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296"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4F5BE" w14:textId="22C45FAE" w:rsidR="007F5A3C" w:rsidRDefault="007F5A3C" w:rsidP="00A91964">
      <w:pPr>
        <w:pStyle w:val="BodyTextIndent"/>
        <w:spacing w:after="0" w:line="300" w:lineRule="exact"/>
        <w:ind w:left="0"/>
        <w:jc w:val="both"/>
        <w:rPr>
          <w:rFonts w:ascii="Calibri" w:hAnsi="Calibri"/>
          <w:sz w:val="22"/>
          <w:szCs w:val="22"/>
        </w:rPr>
      </w:pPr>
    </w:p>
    <w:p w14:paraId="3A145463" w14:textId="37760A9C" w:rsidR="00B80E66" w:rsidRDefault="00B80E66" w:rsidP="00A91964">
      <w:pPr>
        <w:pStyle w:val="BodyTextIndent"/>
        <w:spacing w:after="0" w:line="300" w:lineRule="exact"/>
        <w:ind w:left="0"/>
        <w:jc w:val="both"/>
        <w:rPr>
          <w:rFonts w:ascii="Calibri" w:hAnsi="Calibri"/>
          <w:sz w:val="22"/>
          <w:szCs w:val="22"/>
        </w:rPr>
      </w:pPr>
    </w:p>
    <w:p w14:paraId="38F6360D" w14:textId="49FC8004" w:rsidR="00C129E7" w:rsidRDefault="00C129E7" w:rsidP="00A91964">
      <w:pPr>
        <w:pStyle w:val="BodyTextIndent"/>
        <w:spacing w:after="0" w:line="300" w:lineRule="exact"/>
        <w:ind w:left="0"/>
        <w:jc w:val="both"/>
        <w:rPr>
          <w:rFonts w:ascii="Calibri" w:hAnsi="Calibri"/>
          <w:sz w:val="22"/>
          <w:szCs w:val="22"/>
        </w:rPr>
      </w:pPr>
    </w:p>
    <w:p w14:paraId="588473A0" w14:textId="79B5E6E8" w:rsidR="007F5A3C" w:rsidRDefault="007F5A3C" w:rsidP="00A91964">
      <w:pPr>
        <w:pStyle w:val="BodyTextIndent"/>
        <w:spacing w:after="0" w:line="300" w:lineRule="exact"/>
        <w:ind w:left="0"/>
        <w:jc w:val="both"/>
        <w:rPr>
          <w:rFonts w:ascii="Calibri" w:hAnsi="Calibri"/>
          <w:sz w:val="22"/>
          <w:szCs w:val="22"/>
        </w:rPr>
      </w:pPr>
    </w:p>
    <w:p w14:paraId="6C54B855" w14:textId="4F90457F" w:rsidR="007F5A3C" w:rsidRDefault="007F5A3C" w:rsidP="00A91964">
      <w:pPr>
        <w:pStyle w:val="BodyTextIndent"/>
        <w:spacing w:after="0" w:line="300" w:lineRule="exact"/>
        <w:ind w:left="0"/>
        <w:jc w:val="both"/>
        <w:rPr>
          <w:rFonts w:ascii="Calibri" w:hAnsi="Calibri"/>
          <w:sz w:val="22"/>
          <w:szCs w:val="22"/>
        </w:rPr>
      </w:pPr>
    </w:p>
    <w:p w14:paraId="093094B6" w14:textId="5C3EA524" w:rsidR="007F5A3C" w:rsidRDefault="007F5A3C" w:rsidP="00A91964">
      <w:pPr>
        <w:pStyle w:val="BodyTextIndent"/>
        <w:spacing w:after="0" w:line="300" w:lineRule="exact"/>
        <w:ind w:left="0"/>
        <w:jc w:val="both"/>
        <w:rPr>
          <w:rFonts w:ascii="Calibri" w:hAnsi="Calibri"/>
          <w:sz w:val="22"/>
          <w:szCs w:val="22"/>
        </w:rPr>
      </w:pPr>
    </w:p>
    <w:p w14:paraId="27C5B919" w14:textId="72F96886" w:rsidR="007F5A3C" w:rsidRDefault="007F5A3C" w:rsidP="00A91964">
      <w:pPr>
        <w:pStyle w:val="BodyTextIndent"/>
        <w:spacing w:after="0" w:line="300" w:lineRule="exact"/>
        <w:ind w:left="0"/>
        <w:jc w:val="both"/>
        <w:rPr>
          <w:rFonts w:ascii="Calibri" w:hAnsi="Calibri"/>
          <w:sz w:val="22"/>
          <w:szCs w:val="22"/>
        </w:rPr>
      </w:pPr>
    </w:p>
    <w:p w14:paraId="675AC9A6" w14:textId="5262A6E7" w:rsidR="007F5A3C" w:rsidRDefault="007F5A3C" w:rsidP="00A91964">
      <w:pPr>
        <w:pStyle w:val="BodyTextIndent"/>
        <w:spacing w:after="0" w:line="300" w:lineRule="exact"/>
        <w:ind w:left="0"/>
        <w:jc w:val="both"/>
        <w:rPr>
          <w:rFonts w:ascii="Calibri" w:hAnsi="Calibri"/>
          <w:sz w:val="22"/>
          <w:szCs w:val="22"/>
        </w:rPr>
      </w:pPr>
    </w:p>
    <w:p w14:paraId="20F6CFC8" w14:textId="74B8EC23" w:rsidR="007F5A3C" w:rsidRDefault="007F5A3C" w:rsidP="00A91964">
      <w:pPr>
        <w:pStyle w:val="BodyTextIndent"/>
        <w:spacing w:after="0" w:line="300" w:lineRule="exact"/>
        <w:ind w:left="0"/>
        <w:jc w:val="both"/>
        <w:rPr>
          <w:rFonts w:ascii="Calibri" w:hAnsi="Calibri"/>
          <w:sz w:val="22"/>
          <w:szCs w:val="22"/>
        </w:rPr>
      </w:pPr>
    </w:p>
    <w:p w14:paraId="378DE367" w14:textId="3FDF1715" w:rsidR="007F5A3C" w:rsidRDefault="007F5A3C" w:rsidP="00A91964">
      <w:pPr>
        <w:pStyle w:val="BodyTextIndent"/>
        <w:spacing w:after="0" w:line="300" w:lineRule="exact"/>
        <w:ind w:left="0"/>
        <w:jc w:val="both"/>
        <w:rPr>
          <w:rFonts w:ascii="Calibri" w:hAnsi="Calibri"/>
          <w:sz w:val="22"/>
          <w:szCs w:val="22"/>
        </w:rPr>
      </w:pPr>
    </w:p>
    <w:p w14:paraId="5959C5A7" w14:textId="2FCEFBA7" w:rsidR="007F5A3C" w:rsidRDefault="007F5A3C" w:rsidP="00A91964">
      <w:pPr>
        <w:pStyle w:val="BodyTextIndent"/>
        <w:spacing w:after="0" w:line="300" w:lineRule="exact"/>
        <w:ind w:left="0"/>
        <w:jc w:val="both"/>
        <w:rPr>
          <w:rFonts w:ascii="Calibri" w:hAnsi="Calibri"/>
          <w:sz w:val="22"/>
          <w:szCs w:val="22"/>
        </w:rPr>
      </w:pPr>
    </w:p>
    <w:p w14:paraId="64006C56" w14:textId="508B64CC" w:rsidR="007F5A3C" w:rsidRDefault="007F5A3C" w:rsidP="00A91964">
      <w:pPr>
        <w:pStyle w:val="BodyTextIndent"/>
        <w:spacing w:after="0" w:line="300" w:lineRule="exact"/>
        <w:ind w:left="0"/>
        <w:jc w:val="both"/>
        <w:rPr>
          <w:rFonts w:ascii="Calibri" w:hAnsi="Calibri"/>
          <w:sz w:val="22"/>
          <w:szCs w:val="22"/>
        </w:rPr>
      </w:pPr>
    </w:p>
    <w:p w14:paraId="7F4902D1" w14:textId="22390075" w:rsidR="007F5A3C" w:rsidRDefault="007F5A3C" w:rsidP="00A91964">
      <w:pPr>
        <w:pStyle w:val="BodyTextIndent"/>
        <w:spacing w:after="0" w:line="300" w:lineRule="exact"/>
        <w:ind w:left="0"/>
        <w:jc w:val="both"/>
        <w:rPr>
          <w:rFonts w:ascii="Calibri" w:hAnsi="Calibri"/>
          <w:sz w:val="22"/>
          <w:szCs w:val="22"/>
        </w:rPr>
      </w:pPr>
    </w:p>
    <w:p w14:paraId="2EFE1B7D" w14:textId="0DEA071F" w:rsidR="007F5A3C" w:rsidRDefault="007F5A3C" w:rsidP="00A91964">
      <w:pPr>
        <w:pStyle w:val="BodyTextIndent"/>
        <w:spacing w:after="0" w:line="300" w:lineRule="exact"/>
        <w:ind w:left="0"/>
        <w:jc w:val="both"/>
        <w:rPr>
          <w:rFonts w:ascii="Calibri" w:hAnsi="Calibri"/>
          <w:sz w:val="22"/>
          <w:szCs w:val="22"/>
        </w:rPr>
      </w:pPr>
    </w:p>
    <w:p w14:paraId="08C6FF61" w14:textId="671CCD93" w:rsidR="0030210E" w:rsidRPr="00CD6514" w:rsidRDefault="008E1CAD" w:rsidP="00A91964">
      <w:pPr>
        <w:pStyle w:val="BodyTextIndent"/>
        <w:spacing w:after="0" w:line="300" w:lineRule="exact"/>
        <w:ind w:left="0"/>
        <w:jc w:val="both"/>
        <w:rPr>
          <w:rFonts w:ascii="Calibri" w:hAnsi="Calibri"/>
          <w:sz w:val="22"/>
          <w:szCs w:val="22"/>
        </w:rPr>
      </w:pPr>
      <w:r w:rsidRPr="00CD6514">
        <w:rPr>
          <w:rFonts w:ascii="Calibri" w:hAnsi="Calibri"/>
          <w:sz w:val="22"/>
          <w:szCs w:val="22"/>
        </w:rPr>
        <w:t xml:space="preserve">At the </w:t>
      </w:r>
      <w:r w:rsidR="000C21B2">
        <w:rPr>
          <w:rFonts w:ascii="Calibri" w:hAnsi="Calibri"/>
          <w:sz w:val="22"/>
          <w:szCs w:val="22"/>
        </w:rPr>
        <w:t>end of Q</w:t>
      </w:r>
      <w:r w:rsidR="00F2133F">
        <w:rPr>
          <w:rFonts w:ascii="Calibri" w:hAnsi="Calibri"/>
          <w:sz w:val="22"/>
          <w:szCs w:val="22"/>
        </w:rPr>
        <w:t>4</w:t>
      </w:r>
      <w:r w:rsidR="00BA724F" w:rsidRPr="003A6E94">
        <w:rPr>
          <w:rFonts w:ascii="Calibri" w:hAnsi="Calibri"/>
          <w:sz w:val="22"/>
          <w:szCs w:val="22"/>
        </w:rPr>
        <w:t xml:space="preserve"> </w:t>
      </w:r>
      <w:r w:rsidR="00BA724F">
        <w:rPr>
          <w:rFonts w:ascii="Calibri" w:hAnsi="Calibri"/>
          <w:sz w:val="22"/>
          <w:szCs w:val="22"/>
        </w:rPr>
        <w:t>201</w:t>
      </w:r>
      <w:r w:rsidR="004C3B5B">
        <w:rPr>
          <w:rFonts w:ascii="Calibri" w:hAnsi="Calibri"/>
          <w:sz w:val="22"/>
          <w:szCs w:val="22"/>
        </w:rPr>
        <w:t>9</w:t>
      </w:r>
      <w:r w:rsidRPr="00CD6514">
        <w:rPr>
          <w:rFonts w:ascii="Calibri" w:hAnsi="Calibri"/>
          <w:sz w:val="22"/>
          <w:szCs w:val="22"/>
        </w:rPr>
        <w:t xml:space="preserve">, </w:t>
      </w:r>
      <w:r w:rsidR="00F2133F">
        <w:rPr>
          <w:rFonts w:ascii="Calibri" w:hAnsi="Calibri"/>
          <w:sz w:val="22"/>
          <w:szCs w:val="22"/>
          <w:lang w:val="en-US"/>
        </w:rPr>
        <w:t>42</w:t>
      </w:r>
      <w:r w:rsidR="0032042C">
        <w:rPr>
          <w:rFonts w:ascii="Calibri" w:hAnsi="Calibri"/>
          <w:sz w:val="22"/>
          <w:szCs w:val="22"/>
          <w:lang w:val="en-US"/>
        </w:rPr>
        <w:t xml:space="preserve"> </w:t>
      </w:r>
      <w:r w:rsidRPr="00CD6514">
        <w:rPr>
          <w:rFonts w:ascii="Calibri" w:hAnsi="Calibri"/>
          <w:sz w:val="22"/>
          <w:szCs w:val="22"/>
        </w:rPr>
        <w:t xml:space="preserve">percent of worldwide </w:t>
      </w:r>
      <w:r w:rsidRPr="00CD6514">
        <w:rPr>
          <w:rFonts w:ascii="Calibri" w:hAnsi="Calibri"/>
          <w:sz w:val="22"/>
          <w:szCs w:val="22"/>
          <w:lang w:val="en-US"/>
        </w:rPr>
        <w:t xml:space="preserve">regulated </w:t>
      </w:r>
      <w:r w:rsidR="00655FDA">
        <w:rPr>
          <w:rFonts w:ascii="Calibri" w:hAnsi="Calibri"/>
          <w:sz w:val="22"/>
          <w:szCs w:val="22"/>
          <w:lang w:val="en-US"/>
        </w:rPr>
        <w:t>open-ended</w:t>
      </w:r>
      <w:r w:rsidRPr="00CD6514">
        <w:rPr>
          <w:rFonts w:ascii="Calibri" w:hAnsi="Calibri"/>
          <w:sz w:val="22"/>
          <w:szCs w:val="22"/>
          <w:lang w:val="en-US"/>
        </w:rPr>
        <w:t xml:space="preserve"> </w:t>
      </w:r>
      <w:r w:rsidRPr="00CD6514">
        <w:rPr>
          <w:rFonts w:ascii="Calibri" w:hAnsi="Calibri"/>
          <w:sz w:val="22"/>
          <w:szCs w:val="22"/>
        </w:rPr>
        <w:t xml:space="preserve">fund </w:t>
      </w:r>
      <w:r w:rsidR="001D12DB">
        <w:rPr>
          <w:rFonts w:ascii="Calibri" w:hAnsi="Calibri"/>
          <w:sz w:val="22"/>
          <w:szCs w:val="22"/>
        </w:rPr>
        <w:t xml:space="preserve">net </w:t>
      </w:r>
      <w:r w:rsidRPr="00CD6514">
        <w:rPr>
          <w:rFonts w:ascii="Calibri" w:hAnsi="Calibri"/>
          <w:sz w:val="22"/>
          <w:szCs w:val="22"/>
        </w:rPr>
        <w:t>ass</w:t>
      </w:r>
      <w:r w:rsidR="001D12DB">
        <w:rPr>
          <w:rFonts w:ascii="Calibri" w:hAnsi="Calibri"/>
          <w:sz w:val="22"/>
          <w:szCs w:val="22"/>
        </w:rPr>
        <w:t xml:space="preserve">ets were held in equity funds. </w:t>
      </w:r>
      <w:r w:rsidRPr="00CD6514">
        <w:rPr>
          <w:rFonts w:ascii="Calibri" w:hAnsi="Calibri"/>
          <w:sz w:val="22"/>
          <w:szCs w:val="22"/>
        </w:rPr>
        <w:t xml:space="preserve">The asset share </w:t>
      </w:r>
      <w:r w:rsidR="00FC0EE3">
        <w:rPr>
          <w:rFonts w:ascii="Calibri" w:hAnsi="Calibri"/>
          <w:sz w:val="22"/>
          <w:szCs w:val="22"/>
        </w:rPr>
        <w:t>of</w:t>
      </w:r>
      <w:r w:rsidRPr="00CD6514">
        <w:rPr>
          <w:rFonts w:ascii="Calibri" w:hAnsi="Calibri"/>
          <w:sz w:val="22"/>
          <w:szCs w:val="22"/>
        </w:rPr>
        <w:t xml:space="preserve"> bond funds was </w:t>
      </w:r>
      <w:r w:rsidR="00F2133F">
        <w:rPr>
          <w:rFonts w:ascii="Calibri" w:hAnsi="Calibri"/>
          <w:sz w:val="22"/>
          <w:szCs w:val="22"/>
          <w:lang w:val="en-US"/>
        </w:rPr>
        <w:t>20.8</w:t>
      </w:r>
      <w:r w:rsidRPr="00CD6514">
        <w:rPr>
          <w:rFonts w:ascii="Calibri" w:hAnsi="Calibri"/>
          <w:sz w:val="22"/>
          <w:szCs w:val="22"/>
        </w:rPr>
        <w:t xml:space="preserve"> percent and the</w:t>
      </w:r>
      <w:r w:rsidR="001D12DB">
        <w:rPr>
          <w:rFonts w:ascii="Calibri" w:hAnsi="Calibri"/>
          <w:sz w:val="22"/>
          <w:szCs w:val="22"/>
        </w:rPr>
        <w:t xml:space="preserve"> </w:t>
      </w:r>
      <w:r w:rsidRPr="00CD6514">
        <w:rPr>
          <w:rFonts w:ascii="Calibri" w:hAnsi="Calibri"/>
          <w:sz w:val="22"/>
          <w:szCs w:val="22"/>
        </w:rPr>
        <w:t xml:space="preserve">asset share of balanced/mixed funds was </w:t>
      </w:r>
      <w:r w:rsidR="00ED71FF">
        <w:rPr>
          <w:rFonts w:ascii="Calibri" w:hAnsi="Calibri"/>
          <w:sz w:val="22"/>
          <w:szCs w:val="22"/>
          <w:lang w:val="en-US"/>
        </w:rPr>
        <w:t>1</w:t>
      </w:r>
      <w:r w:rsidR="00040DA4">
        <w:rPr>
          <w:rFonts w:ascii="Calibri" w:hAnsi="Calibri"/>
          <w:sz w:val="22"/>
          <w:szCs w:val="22"/>
          <w:lang w:val="en-US"/>
        </w:rPr>
        <w:t>7</w:t>
      </w:r>
      <w:r w:rsidR="00157541">
        <w:rPr>
          <w:rFonts w:ascii="Calibri" w:hAnsi="Calibri"/>
          <w:sz w:val="22"/>
          <w:szCs w:val="22"/>
          <w:lang w:val="en-US"/>
        </w:rPr>
        <w:t>.</w:t>
      </w:r>
      <w:r w:rsidR="00F2133F">
        <w:rPr>
          <w:rFonts w:ascii="Calibri" w:hAnsi="Calibri"/>
          <w:sz w:val="22"/>
          <w:szCs w:val="22"/>
          <w:lang w:val="en-US"/>
        </w:rPr>
        <w:t>2</w:t>
      </w:r>
      <w:r w:rsidR="00040DA4">
        <w:rPr>
          <w:rFonts w:ascii="Calibri" w:hAnsi="Calibri"/>
          <w:sz w:val="22"/>
          <w:szCs w:val="22"/>
          <w:lang w:val="en-US"/>
        </w:rPr>
        <w:t xml:space="preserve"> </w:t>
      </w:r>
      <w:r w:rsidRPr="00CD6514">
        <w:rPr>
          <w:rFonts w:ascii="Calibri" w:hAnsi="Calibri"/>
          <w:sz w:val="22"/>
          <w:szCs w:val="22"/>
        </w:rPr>
        <w:t xml:space="preserve">percent.  Money market fund assets represented </w:t>
      </w:r>
      <w:r w:rsidR="0032042C">
        <w:rPr>
          <w:rFonts w:ascii="Calibri" w:hAnsi="Calibri"/>
          <w:sz w:val="22"/>
          <w:szCs w:val="22"/>
          <w:lang w:val="en-US"/>
        </w:rPr>
        <w:t>11</w:t>
      </w:r>
      <w:r w:rsidR="00157541">
        <w:rPr>
          <w:rFonts w:ascii="Calibri" w:hAnsi="Calibri"/>
          <w:sz w:val="22"/>
          <w:szCs w:val="22"/>
          <w:lang w:val="en-US"/>
        </w:rPr>
        <w:t>.</w:t>
      </w:r>
      <w:r w:rsidR="00F2133F">
        <w:rPr>
          <w:rFonts w:ascii="Calibri" w:hAnsi="Calibri"/>
          <w:sz w:val="22"/>
          <w:szCs w:val="22"/>
          <w:lang w:val="en-US"/>
        </w:rPr>
        <w:t>7</w:t>
      </w:r>
      <w:r w:rsidRPr="00CD6514">
        <w:rPr>
          <w:rFonts w:ascii="Calibri" w:hAnsi="Calibri"/>
          <w:sz w:val="22"/>
          <w:szCs w:val="22"/>
        </w:rPr>
        <w:t xml:space="preserve"> percent of the worldwide total.</w:t>
      </w:r>
    </w:p>
    <w:p w14:paraId="553FE722" w14:textId="669C9457" w:rsidR="00E525A1" w:rsidRDefault="00E525A1" w:rsidP="00A91964">
      <w:pPr>
        <w:pStyle w:val="BodyTextIndent"/>
        <w:ind w:left="0"/>
        <w:jc w:val="both"/>
      </w:pPr>
    </w:p>
    <w:p w14:paraId="258B9640" w14:textId="08750C78" w:rsidR="002301F5" w:rsidRDefault="00A34BE5" w:rsidP="00A91964">
      <w:pPr>
        <w:pStyle w:val="BodyTextIndent"/>
        <w:ind w:left="0"/>
        <w:jc w:val="both"/>
      </w:pPr>
      <w:r>
        <w:rPr>
          <w:noProof/>
        </w:rPr>
        <w:drawing>
          <wp:anchor distT="0" distB="0" distL="114300" distR="114300" simplePos="0" relativeHeight="251742720" behindDoc="0" locked="0" layoutInCell="1" allowOverlap="1" wp14:anchorId="2DCB5DAB" wp14:editId="0D6C0F1E">
            <wp:simplePos x="0" y="0"/>
            <wp:positionH relativeFrom="margin">
              <wp:align>center</wp:align>
            </wp:positionH>
            <wp:positionV relativeFrom="paragraph">
              <wp:posOffset>7229</wp:posOffset>
            </wp:positionV>
            <wp:extent cx="4634149" cy="2880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4149" cy="2880000"/>
                    </a:xfrm>
                    <a:prstGeom prst="rect">
                      <a:avLst/>
                    </a:prstGeom>
                    <a:noFill/>
                  </pic:spPr>
                </pic:pic>
              </a:graphicData>
            </a:graphic>
            <wp14:sizeRelH relativeFrom="margin">
              <wp14:pctWidth>0</wp14:pctWidth>
            </wp14:sizeRelH>
            <wp14:sizeRelV relativeFrom="margin">
              <wp14:pctHeight>0</wp14:pctHeight>
            </wp14:sizeRelV>
          </wp:anchor>
        </w:drawing>
      </w:r>
    </w:p>
    <w:p w14:paraId="770FDDA1" w14:textId="2605B133" w:rsidR="002301F5" w:rsidRDefault="002301F5" w:rsidP="00A91964">
      <w:pPr>
        <w:pStyle w:val="BodyTextIndent"/>
        <w:ind w:left="0"/>
        <w:jc w:val="both"/>
      </w:pPr>
    </w:p>
    <w:p w14:paraId="36B65529" w14:textId="77777777" w:rsidR="002301F5" w:rsidRDefault="002301F5" w:rsidP="00A91964">
      <w:pPr>
        <w:pStyle w:val="BodyTextIndent"/>
        <w:ind w:left="0"/>
        <w:jc w:val="both"/>
      </w:pPr>
    </w:p>
    <w:p w14:paraId="0BEDE07D" w14:textId="77777777" w:rsidR="002301F5" w:rsidRDefault="002301F5" w:rsidP="00A91964">
      <w:pPr>
        <w:pStyle w:val="BodyTextIndent"/>
        <w:ind w:left="0"/>
        <w:jc w:val="both"/>
      </w:pPr>
    </w:p>
    <w:p w14:paraId="3FC9BFAD" w14:textId="77777777" w:rsidR="002301F5" w:rsidRDefault="002301F5" w:rsidP="00A91964">
      <w:pPr>
        <w:pStyle w:val="BodyTextIndent"/>
        <w:ind w:left="0"/>
        <w:jc w:val="both"/>
      </w:pPr>
    </w:p>
    <w:p w14:paraId="39CB2664" w14:textId="77777777" w:rsidR="002301F5" w:rsidRDefault="002301F5" w:rsidP="00A91964">
      <w:pPr>
        <w:pStyle w:val="BodyTextIndent"/>
        <w:ind w:left="0"/>
        <w:jc w:val="both"/>
      </w:pPr>
    </w:p>
    <w:p w14:paraId="418C9C4D" w14:textId="77777777" w:rsidR="002301F5" w:rsidRDefault="002301F5" w:rsidP="00A91964">
      <w:pPr>
        <w:pStyle w:val="BodyTextIndent"/>
        <w:ind w:left="0"/>
        <w:jc w:val="both"/>
      </w:pPr>
    </w:p>
    <w:p w14:paraId="4A5504DF" w14:textId="77777777" w:rsidR="002301F5" w:rsidRDefault="002301F5" w:rsidP="00A91964">
      <w:pPr>
        <w:pStyle w:val="BodyTextIndent"/>
        <w:ind w:left="0"/>
        <w:jc w:val="both"/>
      </w:pPr>
    </w:p>
    <w:p w14:paraId="3AA8C31E" w14:textId="77777777" w:rsidR="008E1CAD" w:rsidRDefault="008E1CAD" w:rsidP="00A91964">
      <w:pPr>
        <w:pStyle w:val="BodyTextIndent"/>
        <w:spacing w:after="0" w:line="300" w:lineRule="exact"/>
        <w:ind w:left="0"/>
        <w:jc w:val="both"/>
      </w:pPr>
    </w:p>
    <w:p w14:paraId="77522325" w14:textId="77777777" w:rsidR="008E1CAD" w:rsidRDefault="008E1CAD" w:rsidP="00A91964">
      <w:pPr>
        <w:pStyle w:val="BodyTextIndent"/>
        <w:spacing w:after="0" w:line="300" w:lineRule="exact"/>
        <w:ind w:left="0"/>
        <w:jc w:val="both"/>
      </w:pPr>
    </w:p>
    <w:p w14:paraId="251B4D10" w14:textId="73A8EB1C" w:rsidR="003C25B1" w:rsidRPr="00CD6514" w:rsidRDefault="00B56C37" w:rsidP="00A91964">
      <w:pPr>
        <w:pStyle w:val="BodyTextIndent"/>
        <w:spacing w:after="0" w:line="300" w:lineRule="exact"/>
        <w:ind w:left="0"/>
        <w:jc w:val="both"/>
        <w:rPr>
          <w:rFonts w:ascii="Calibri" w:hAnsi="Calibri"/>
          <w:sz w:val="22"/>
          <w:szCs w:val="22"/>
        </w:rPr>
      </w:pPr>
      <w:r>
        <w:br w:type="page"/>
      </w:r>
      <w:r w:rsidR="00F2133F" w:rsidRPr="00CD6514">
        <w:rPr>
          <w:rFonts w:ascii="Calibri" w:hAnsi="Calibri"/>
          <w:sz w:val="22"/>
          <w:szCs w:val="22"/>
        </w:rPr>
        <w:lastRenderedPageBreak/>
        <w:t>Looking at the worldwide distribution of inv</w:t>
      </w:r>
      <w:r w:rsidR="00F2133F">
        <w:rPr>
          <w:rFonts w:ascii="Calibri" w:hAnsi="Calibri"/>
          <w:sz w:val="22"/>
          <w:szCs w:val="22"/>
        </w:rPr>
        <w:t>estment fund net assets at end Q4 2019</w:t>
      </w:r>
      <w:r w:rsidR="00F2133F" w:rsidRPr="00CD6514">
        <w:rPr>
          <w:rFonts w:ascii="Calibri" w:hAnsi="Calibri"/>
          <w:sz w:val="22"/>
          <w:szCs w:val="22"/>
        </w:rPr>
        <w:t xml:space="preserve">, the United States and Europe held the largest </w:t>
      </w:r>
      <w:r w:rsidR="00F2133F">
        <w:rPr>
          <w:rFonts w:ascii="Calibri" w:hAnsi="Calibri"/>
          <w:sz w:val="22"/>
          <w:szCs w:val="22"/>
        </w:rPr>
        <w:t>shares in the world market, with 47.7 percent and 32.6</w:t>
      </w:r>
      <w:r w:rsidR="00F2133F" w:rsidRPr="00CD6514">
        <w:rPr>
          <w:rFonts w:ascii="Calibri" w:hAnsi="Calibri"/>
          <w:sz w:val="22"/>
          <w:szCs w:val="22"/>
        </w:rPr>
        <w:t xml:space="preserve"> per</w:t>
      </w:r>
      <w:r w:rsidR="00F2133F">
        <w:rPr>
          <w:rFonts w:ascii="Calibri" w:hAnsi="Calibri"/>
          <w:sz w:val="22"/>
          <w:szCs w:val="22"/>
        </w:rPr>
        <w:t>cent, respectively. Australia (3.7%), Japan (3.5%)</w:t>
      </w:r>
      <w:r w:rsidR="00F2133F" w:rsidRPr="00853FB5">
        <w:rPr>
          <w:rFonts w:ascii="Calibri" w:hAnsi="Calibri"/>
          <w:sz w:val="22"/>
          <w:szCs w:val="22"/>
        </w:rPr>
        <w:t>,</w:t>
      </w:r>
      <w:r w:rsidR="00F2133F">
        <w:rPr>
          <w:rFonts w:ascii="Calibri" w:hAnsi="Calibri"/>
          <w:sz w:val="22"/>
          <w:szCs w:val="22"/>
        </w:rPr>
        <w:t xml:space="preserve"> Brazil (3.5</w:t>
      </w:r>
      <w:r w:rsidR="00F2133F" w:rsidRPr="00853FB5">
        <w:rPr>
          <w:rFonts w:ascii="Calibri" w:hAnsi="Calibri"/>
          <w:sz w:val="22"/>
          <w:szCs w:val="22"/>
        </w:rPr>
        <w:t>%)</w:t>
      </w:r>
      <w:r w:rsidR="00F2133F">
        <w:rPr>
          <w:rFonts w:ascii="Calibri" w:hAnsi="Calibri"/>
          <w:sz w:val="22"/>
          <w:szCs w:val="22"/>
        </w:rPr>
        <w:t xml:space="preserve">, </w:t>
      </w:r>
      <w:r w:rsidR="00F2133F" w:rsidRPr="00853FB5">
        <w:rPr>
          <w:rFonts w:ascii="Calibri" w:hAnsi="Calibri"/>
          <w:sz w:val="22"/>
          <w:szCs w:val="22"/>
        </w:rPr>
        <w:t>Canada (3.</w:t>
      </w:r>
      <w:r w:rsidR="00F2133F">
        <w:rPr>
          <w:rFonts w:ascii="Calibri" w:hAnsi="Calibri"/>
          <w:sz w:val="22"/>
          <w:szCs w:val="22"/>
        </w:rPr>
        <w:t>2%), China (3.2</w:t>
      </w:r>
      <w:r w:rsidR="00F2133F" w:rsidRPr="00853FB5">
        <w:rPr>
          <w:rFonts w:ascii="Calibri" w:hAnsi="Calibri"/>
          <w:sz w:val="22"/>
          <w:szCs w:val="22"/>
        </w:rPr>
        <w:t>%), Rep. of Korea (</w:t>
      </w:r>
      <w:r w:rsidR="00F2133F">
        <w:rPr>
          <w:rFonts w:ascii="Calibri" w:hAnsi="Calibri"/>
          <w:sz w:val="22"/>
          <w:szCs w:val="22"/>
        </w:rPr>
        <w:t>1%</w:t>
      </w:r>
      <w:r w:rsidR="00F2133F" w:rsidRPr="00853FB5">
        <w:rPr>
          <w:rFonts w:ascii="Calibri" w:hAnsi="Calibri"/>
          <w:sz w:val="22"/>
          <w:szCs w:val="22"/>
        </w:rPr>
        <w:t xml:space="preserve">), </w:t>
      </w:r>
      <w:r w:rsidR="00F2133F">
        <w:rPr>
          <w:rFonts w:ascii="Calibri" w:hAnsi="Calibri"/>
          <w:sz w:val="22"/>
          <w:szCs w:val="22"/>
        </w:rPr>
        <w:t>India (0.6%) and</w:t>
      </w:r>
      <w:r w:rsidR="00F2133F" w:rsidRPr="006A24FD">
        <w:rPr>
          <w:rFonts w:ascii="Calibri" w:hAnsi="Calibri"/>
          <w:sz w:val="22"/>
          <w:szCs w:val="22"/>
        </w:rPr>
        <w:t xml:space="preserve"> </w:t>
      </w:r>
      <w:r w:rsidR="00F2133F" w:rsidRPr="00853FB5">
        <w:rPr>
          <w:rFonts w:ascii="Calibri" w:hAnsi="Calibri"/>
          <w:sz w:val="22"/>
          <w:szCs w:val="22"/>
        </w:rPr>
        <w:t>South</w:t>
      </w:r>
      <w:r w:rsidR="00F2133F">
        <w:rPr>
          <w:rFonts w:ascii="Calibri" w:hAnsi="Calibri"/>
          <w:sz w:val="22"/>
          <w:szCs w:val="22"/>
        </w:rPr>
        <w:t xml:space="preserve"> Africa (0.3%) f</w:t>
      </w:r>
      <w:r w:rsidR="00F2133F" w:rsidRPr="00CD6514">
        <w:rPr>
          <w:rFonts w:ascii="Calibri" w:hAnsi="Calibri"/>
          <w:sz w:val="22"/>
          <w:szCs w:val="22"/>
        </w:rPr>
        <w:t>ollow in this ranking.</w:t>
      </w:r>
    </w:p>
    <w:p w14:paraId="236813CA" w14:textId="479217F1" w:rsidR="009A6680" w:rsidRDefault="009A6680" w:rsidP="00A91964">
      <w:pPr>
        <w:pStyle w:val="BodyTextIndent"/>
        <w:spacing w:after="0" w:line="300" w:lineRule="exact"/>
        <w:ind w:left="0"/>
        <w:jc w:val="both"/>
        <w:rPr>
          <w:rFonts w:ascii="Calibri" w:hAnsi="Calibri"/>
          <w:sz w:val="22"/>
          <w:szCs w:val="22"/>
        </w:rPr>
      </w:pPr>
    </w:p>
    <w:p w14:paraId="6ACBEFF7" w14:textId="49E4C30E" w:rsidR="009A6680" w:rsidRDefault="00A34BE5" w:rsidP="00A91964">
      <w:pPr>
        <w:pStyle w:val="BodyTextIndent"/>
        <w:spacing w:after="0" w:line="300" w:lineRule="exact"/>
        <w:ind w:left="0"/>
        <w:jc w:val="both"/>
        <w:rPr>
          <w:rFonts w:ascii="Calibri" w:hAnsi="Calibri"/>
          <w:sz w:val="22"/>
          <w:szCs w:val="22"/>
        </w:rPr>
      </w:pPr>
      <w:r>
        <w:rPr>
          <w:rFonts w:ascii="Calibri" w:hAnsi="Calibri"/>
          <w:noProof/>
          <w:sz w:val="22"/>
          <w:szCs w:val="22"/>
        </w:rPr>
        <w:drawing>
          <wp:anchor distT="0" distB="0" distL="114300" distR="114300" simplePos="0" relativeHeight="251743744" behindDoc="0" locked="0" layoutInCell="1" allowOverlap="1" wp14:anchorId="2BDE6DE7" wp14:editId="681BD05E">
            <wp:simplePos x="0" y="0"/>
            <wp:positionH relativeFrom="margin">
              <wp:align>center</wp:align>
            </wp:positionH>
            <wp:positionV relativeFrom="paragraph">
              <wp:posOffset>8646</wp:posOffset>
            </wp:positionV>
            <wp:extent cx="4745728" cy="288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45728" cy="2880000"/>
                    </a:xfrm>
                    <a:prstGeom prst="rect">
                      <a:avLst/>
                    </a:prstGeom>
                    <a:noFill/>
                  </pic:spPr>
                </pic:pic>
              </a:graphicData>
            </a:graphic>
            <wp14:sizeRelH relativeFrom="margin">
              <wp14:pctWidth>0</wp14:pctWidth>
            </wp14:sizeRelH>
            <wp14:sizeRelV relativeFrom="margin">
              <wp14:pctHeight>0</wp14:pctHeight>
            </wp14:sizeRelV>
          </wp:anchor>
        </w:drawing>
      </w:r>
    </w:p>
    <w:p w14:paraId="2CC1D0CA" w14:textId="61F20215" w:rsidR="009A6680" w:rsidRDefault="009A6680" w:rsidP="00A91964">
      <w:pPr>
        <w:pStyle w:val="BodyTextIndent"/>
        <w:spacing w:after="0" w:line="300" w:lineRule="exact"/>
        <w:ind w:left="0"/>
        <w:jc w:val="both"/>
        <w:rPr>
          <w:rFonts w:ascii="Calibri" w:hAnsi="Calibri"/>
          <w:sz w:val="22"/>
          <w:szCs w:val="22"/>
        </w:rPr>
      </w:pPr>
    </w:p>
    <w:p w14:paraId="2273AB2E" w14:textId="4A96A137" w:rsidR="009A6680" w:rsidRDefault="009A6680" w:rsidP="00A04FCA">
      <w:pPr>
        <w:pStyle w:val="BodyTextIndent"/>
        <w:spacing w:after="0" w:line="300" w:lineRule="exact"/>
        <w:ind w:left="0"/>
        <w:jc w:val="both"/>
        <w:rPr>
          <w:rFonts w:ascii="Calibri" w:hAnsi="Calibri"/>
          <w:sz w:val="22"/>
          <w:szCs w:val="22"/>
        </w:rPr>
      </w:pPr>
    </w:p>
    <w:p w14:paraId="4A7AB65D" w14:textId="09C518EA" w:rsidR="009A6680" w:rsidRDefault="009A6680" w:rsidP="00A04FCA">
      <w:pPr>
        <w:pStyle w:val="BodyTextIndent"/>
        <w:spacing w:after="0" w:line="300" w:lineRule="exact"/>
        <w:ind w:left="0"/>
        <w:jc w:val="both"/>
        <w:rPr>
          <w:rFonts w:ascii="Calibri" w:hAnsi="Calibri"/>
          <w:sz w:val="22"/>
          <w:szCs w:val="22"/>
        </w:rPr>
      </w:pPr>
    </w:p>
    <w:p w14:paraId="60B2DF88" w14:textId="23A69DBA" w:rsidR="009A6680" w:rsidRDefault="009A6680" w:rsidP="00A04FCA">
      <w:pPr>
        <w:pStyle w:val="BodyTextIndent"/>
        <w:spacing w:after="0" w:line="300" w:lineRule="exact"/>
        <w:ind w:left="0"/>
        <w:jc w:val="both"/>
        <w:rPr>
          <w:rFonts w:ascii="Calibri" w:hAnsi="Calibri"/>
          <w:sz w:val="22"/>
          <w:szCs w:val="22"/>
        </w:rPr>
      </w:pPr>
    </w:p>
    <w:p w14:paraId="493644C4" w14:textId="6C0B550C" w:rsidR="009A6680" w:rsidRDefault="009A6680" w:rsidP="00A04FCA">
      <w:pPr>
        <w:pStyle w:val="BodyTextIndent"/>
        <w:spacing w:after="0" w:line="300" w:lineRule="exact"/>
        <w:ind w:left="0"/>
        <w:jc w:val="both"/>
        <w:rPr>
          <w:rFonts w:ascii="Calibri" w:hAnsi="Calibri"/>
          <w:sz w:val="22"/>
          <w:szCs w:val="22"/>
        </w:rPr>
      </w:pPr>
    </w:p>
    <w:p w14:paraId="41F8DD4F" w14:textId="1CFBFBCC" w:rsidR="009A6680" w:rsidRDefault="009A6680" w:rsidP="00A04FCA">
      <w:pPr>
        <w:pStyle w:val="BodyTextIndent"/>
        <w:spacing w:after="0" w:line="300" w:lineRule="exact"/>
        <w:ind w:left="0"/>
        <w:jc w:val="both"/>
        <w:rPr>
          <w:rFonts w:ascii="Calibri" w:hAnsi="Calibri"/>
          <w:sz w:val="22"/>
          <w:szCs w:val="22"/>
        </w:rPr>
      </w:pPr>
    </w:p>
    <w:p w14:paraId="034EEBD5" w14:textId="39E77F55" w:rsidR="009A6680" w:rsidRDefault="009A6680" w:rsidP="00A04FCA">
      <w:pPr>
        <w:pStyle w:val="BodyTextIndent"/>
        <w:spacing w:after="0" w:line="300" w:lineRule="exact"/>
        <w:ind w:left="0"/>
        <w:jc w:val="both"/>
        <w:rPr>
          <w:rFonts w:ascii="Calibri" w:hAnsi="Calibri"/>
          <w:sz w:val="22"/>
          <w:szCs w:val="22"/>
        </w:rPr>
      </w:pPr>
    </w:p>
    <w:p w14:paraId="05B9EC7A" w14:textId="5179BFDC" w:rsidR="009A6680" w:rsidRDefault="009A6680" w:rsidP="00A04FCA">
      <w:pPr>
        <w:pStyle w:val="BodyTextIndent"/>
        <w:spacing w:after="0" w:line="300" w:lineRule="exact"/>
        <w:ind w:left="0"/>
        <w:jc w:val="both"/>
        <w:rPr>
          <w:rFonts w:ascii="Calibri" w:hAnsi="Calibri"/>
          <w:sz w:val="22"/>
          <w:szCs w:val="22"/>
        </w:rPr>
      </w:pPr>
    </w:p>
    <w:p w14:paraId="48B1AA3C" w14:textId="76233A82" w:rsidR="009A6680" w:rsidRDefault="009A6680" w:rsidP="00A04FCA">
      <w:pPr>
        <w:pStyle w:val="BodyTextIndent"/>
        <w:spacing w:after="0" w:line="300" w:lineRule="exact"/>
        <w:ind w:left="0"/>
        <w:jc w:val="both"/>
        <w:rPr>
          <w:rFonts w:ascii="Calibri" w:hAnsi="Calibri"/>
          <w:sz w:val="22"/>
          <w:szCs w:val="22"/>
        </w:rPr>
      </w:pPr>
    </w:p>
    <w:p w14:paraId="62DCAD2E" w14:textId="35C37A66" w:rsidR="009A6680" w:rsidRDefault="009A6680" w:rsidP="00A04FCA">
      <w:pPr>
        <w:pStyle w:val="BodyTextIndent"/>
        <w:spacing w:after="0" w:line="300" w:lineRule="exact"/>
        <w:ind w:left="0"/>
        <w:jc w:val="both"/>
        <w:rPr>
          <w:rFonts w:ascii="Calibri" w:hAnsi="Calibri"/>
          <w:sz w:val="22"/>
          <w:szCs w:val="22"/>
        </w:rPr>
      </w:pPr>
    </w:p>
    <w:p w14:paraId="46ECB61F" w14:textId="0F393830" w:rsidR="009A6680" w:rsidRDefault="009A6680" w:rsidP="00A04FCA">
      <w:pPr>
        <w:pStyle w:val="BodyTextIndent"/>
        <w:spacing w:after="0" w:line="300" w:lineRule="exact"/>
        <w:ind w:left="0"/>
        <w:jc w:val="both"/>
        <w:rPr>
          <w:rFonts w:ascii="Calibri" w:hAnsi="Calibri"/>
          <w:sz w:val="22"/>
          <w:szCs w:val="22"/>
        </w:rPr>
      </w:pPr>
    </w:p>
    <w:p w14:paraId="02139922" w14:textId="459C7E5B" w:rsidR="009A6680" w:rsidRDefault="009A6680" w:rsidP="00A04FCA">
      <w:pPr>
        <w:pStyle w:val="BodyTextIndent"/>
        <w:spacing w:after="0" w:line="300" w:lineRule="exact"/>
        <w:ind w:left="0"/>
        <w:jc w:val="both"/>
        <w:rPr>
          <w:rFonts w:ascii="Calibri" w:hAnsi="Calibri"/>
          <w:sz w:val="22"/>
          <w:szCs w:val="22"/>
        </w:rPr>
      </w:pPr>
    </w:p>
    <w:p w14:paraId="44E666F9" w14:textId="1773C798" w:rsidR="009A6680" w:rsidRDefault="009A6680" w:rsidP="00A04FCA">
      <w:pPr>
        <w:pStyle w:val="BodyTextIndent"/>
        <w:spacing w:after="0" w:line="300" w:lineRule="exact"/>
        <w:ind w:left="0"/>
        <w:jc w:val="both"/>
        <w:rPr>
          <w:rFonts w:ascii="Calibri" w:hAnsi="Calibri"/>
          <w:sz w:val="22"/>
          <w:szCs w:val="22"/>
        </w:rPr>
      </w:pPr>
    </w:p>
    <w:p w14:paraId="56092C16" w14:textId="0E3D91CF" w:rsidR="009A6680" w:rsidRDefault="009A6680" w:rsidP="00A04FCA">
      <w:pPr>
        <w:pStyle w:val="BodyTextIndent"/>
        <w:spacing w:after="0" w:line="300" w:lineRule="exact"/>
        <w:ind w:left="0"/>
        <w:jc w:val="both"/>
        <w:rPr>
          <w:rFonts w:ascii="Calibri" w:hAnsi="Calibri"/>
          <w:sz w:val="22"/>
          <w:szCs w:val="22"/>
        </w:rPr>
      </w:pPr>
    </w:p>
    <w:p w14:paraId="38ED195D" w14:textId="73FA0F97" w:rsidR="009A6680" w:rsidRDefault="009A6680" w:rsidP="00A04FCA">
      <w:pPr>
        <w:pStyle w:val="BodyTextIndent"/>
        <w:spacing w:after="0" w:line="300" w:lineRule="exact"/>
        <w:ind w:left="0"/>
        <w:jc w:val="both"/>
        <w:rPr>
          <w:rFonts w:ascii="Calibri" w:hAnsi="Calibri"/>
          <w:sz w:val="22"/>
          <w:szCs w:val="22"/>
        </w:rPr>
      </w:pPr>
    </w:p>
    <w:p w14:paraId="7AF2E8A9" w14:textId="55C65167" w:rsidR="009A6680" w:rsidRDefault="009A6680" w:rsidP="00A04FCA">
      <w:pPr>
        <w:pStyle w:val="BodyTextIndent"/>
        <w:spacing w:after="0" w:line="300" w:lineRule="exact"/>
        <w:ind w:left="0"/>
        <w:jc w:val="both"/>
        <w:rPr>
          <w:rFonts w:ascii="Calibri" w:hAnsi="Calibri"/>
          <w:sz w:val="22"/>
          <w:szCs w:val="22"/>
        </w:rPr>
      </w:pPr>
    </w:p>
    <w:p w14:paraId="1F1CE5DA" w14:textId="6569F5D2" w:rsidR="00FF097A" w:rsidRDefault="00FF097A" w:rsidP="00A04FCA">
      <w:pPr>
        <w:pStyle w:val="BodyTextIndent"/>
        <w:spacing w:after="0" w:line="300" w:lineRule="exact"/>
        <w:ind w:left="0"/>
        <w:jc w:val="both"/>
        <w:rPr>
          <w:rFonts w:ascii="Calibri" w:hAnsi="Calibri"/>
          <w:sz w:val="22"/>
          <w:szCs w:val="22"/>
        </w:rPr>
      </w:pPr>
    </w:p>
    <w:p w14:paraId="13D77860" w14:textId="77777777" w:rsidR="00F2133F" w:rsidRDefault="00F2133F" w:rsidP="00F2133F">
      <w:pPr>
        <w:pStyle w:val="BodyTextIndent"/>
        <w:spacing w:after="0" w:line="300" w:lineRule="exact"/>
        <w:ind w:left="0"/>
        <w:jc w:val="both"/>
        <w:rPr>
          <w:rFonts w:ascii="Calibri" w:hAnsi="Calibri"/>
          <w:sz w:val="22"/>
          <w:szCs w:val="22"/>
        </w:rPr>
      </w:pPr>
      <w:r>
        <w:rPr>
          <w:rFonts w:ascii="Calibri" w:hAnsi="Calibri"/>
          <w:sz w:val="22"/>
          <w:szCs w:val="22"/>
        </w:rPr>
        <w:t xml:space="preserve">Overall, </w:t>
      </w:r>
      <w:r w:rsidRPr="00CD6514">
        <w:rPr>
          <w:rFonts w:ascii="Calibri" w:hAnsi="Calibri"/>
          <w:sz w:val="22"/>
          <w:szCs w:val="22"/>
        </w:rPr>
        <w:t>five European countries</w:t>
      </w:r>
      <w:r>
        <w:rPr>
          <w:rFonts w:ascii="Calibri" w:hAnsi="Calibri"/>
          <w:sz w:val="22"/>
          <w:szCs w:val="22"/>
        </w:rPr>
        <w:t xml:space="preserve"> ranked among the top ten largest fund domiciles in the world</w:t>
      </w:r>
      <w:r w:rsidRPr="00CD6514">
        <w:rPr>
          <w:rFonts w:ascii="Calibri" w:hAnsi="Calibri"/>
          <w:sz w:val="22"/>
          <w:szCs w:val="22"/>
        </w:rPr>
        <w:t>: Luxembourg</w:t>
      </w:r>
      <w:r>
        <w:rPr>
          <w:rFonts w:ascii="Calibri" w:hAnsi="Calibri"/>
          <w:sz w:val="22"/>
          <w:szCs w:val="22"/>
        </w:rPr>
        <w:t xml:space="preserve"> (with 8.9 percent of worldwide investment fund assets)</w:t>
      </w:r>
      <w:r w:rsidRPr="00CD6514">
        <w:rPr>
          <w:rFonts w:ascii="Calibri" w:hAnsi="Calibri"/>
          <w:sz w:val="22"/>
          <w:szCs w:val="22"/>
        </w:rPr>
        <w:t>, Ireland</w:t>
      </w:r>
      <w:r>
        <w:rPr>
          <w:rFonts w:ascii="Calibri" w:hAnsi="Calibri"/>
          <w:sz w:val="22"/>
          <w:szCs w:val="22"/>
        </w:rPr>
        <w:t xml:space="preserve"> (5.8%)</w:t>
      </w:r>
      <w:r w:rsidRPr="00CD6514">
        <w:rPr>
          <w:rFonts w:ascii="Calibri" w:hAnsi="Calibri"/>
          <w:sz w:val="22"/>
          <w:szCs w:val="22"/>
        </w:rPr>
        <w:t>,</w:t>
      </w:r>
      <w:r>
        <w:rPr>
          <w:rFonts w:ascii="Calibri" w:hAnsi="Calibri"/>
          <w:sz w:val="22"/>
          <w:szCs w:val="22"/>
        </w:rPr>
        <w:t xml:space="preserve"> Germany (4.5%),</w:t>
      </w:r>
      <w:r w:rsidRPr="00CD6514">
        <w:rPr>
          <w:rFonts w:ascii="Calibri" w:hAnsi="Calibri"/>
          <w:sz w:val="22"/>
          <w:szCs w:val="22"/>
        </w:rPr>
        <w:t xml:space="preserve"> </w:t>
      </w:r>
      <w:r>
        <w:rPr>
          <w:rFonts w:ascii="Calibri" w:hAnsi="Calibri"/>
          <w:sz w:val="22"/>
          <w:szCs w:val="22"/>
        </w:rPr>
        <w:t xml:space="preserve">France (3.7%), </w:t>
      </w:r>
      <w:r w:rsidRPr="00CD6514">
        <w:rPr>
          <w:rFonts w:ascii="Calibri" w:hAnsi="Calibri"/>
          <w:sz w:val="22"/>
          <w:szCs w:val="22"/>
        </w:rPr>
        <w:t>and the United Kingdom</w:t>
      </w:r>
      <w:r>
        <w:rPr>
          <w:rFonts w:ascii="Calibri" w:hAnsi="Calibri"/>
          <w:sz w:val="22"/>
          <w:szCs w:val="22"/>
        </w:rPr>
        <w:t xml:space="preserve"> (3.3%)</w:t>
      </w:r>
      <w:r w:rsidRPr="00CD6514">
        <w:rPr>
          <w:rFonts w:ascii="Calibri" w:hAnsi="Calibri"/>
          <w:sz w:val="22"/>
          <w:szCs w:val="22"/>
        </w:rPr>
        <w:t xml:space="preserve">. </w:t>
      </w:r>
    </w:p>
    <w:p w14:paraId="545F2AC4" w14:textId="28819802" w:rsidR="009A6680" w:rsidRDefault="009A6680" w:rsidP="00A91964">
      <w:pPr>
        <w:pStyle w:val="BodyTextIndent"/>
        <w:spacing w:after="0" w:line="300" w:lineRule="exact"/>
        <w:ind w:left="0"/>
        <w:jc w:val="both"/>
        <w:rPr>
          <w:rFonts w:ascii="Calibri" w:hAnsi="Calibri"/>
          <w:sz w:val="22"/>
          <w:szCs w:val="22"/>
        </w:rPr>
      </w:pPr>
    </w:p>
    <w:p w14:paraId="61F89497" w14:textId="172109CD" w:rsidR="009A6680" w:rsidRPr="00CD6514" w:rsidRDefault="009A6680" w:rsidP="00A91964">
      <w:pPr>
        <w:pStyle w:val="BodyTextIndent"/>
        <w:spacing w:after="0" w:line="300" w:lineRule="exact"/>
        <w:ind w:left="0"/>
        <w:jc w:val="both"/>
        <w:rPr>
          <w:rFonts w:ascii="Calibri" w:hAnsi="Calibri"/>
          <w:sz w:val="22"/>
          <w:szCs w:val="22"/>
        </w:rPr>
      </w:pPr>
    </w:p>
    <w:p w14:paraId="18695A92" w14:textId="29FF0D4F" w:rsidR="001750B7" w:rsidRDefault="00A34BE5" w:rsidP="00A91964">
      <w:pPr>
        <w:pStyle w:val="BodyTextIndent"/>
        <w:spacing w:after="0" w:line="300" w:lineRule="exact"/>
        <w:ind w:left="0"/>
        <w:jc w:val="both"/>
        <w:rPr>
          <w:rFonts w:ascii="Calibri" w:hAnsi="Calibri"/>
          <w:sz w:val="22"/>
          <w:szCs w:val="22"/>
        </w:rPr>
      </w:pPr>
      <w:r>
        <w:rPr>
          <w:noProof/>
        </w:rPr>
        <w:drawing>
          <wp:anchor distT="0" distB="0" distL="114300" distR="114300" simplePos="0" relativeHeight="251744768" behindDoc="0" locked="0" layoutInCell="1" allowOverlap="1" wp14:anchorId="3A7346AB" wp14:editId="4E81AAEB">
            <wp:simplePos x="0" y="0"/>
            <wp:positionH relativeFrom="margin">
              <wp:align>center</wp:align>
            </wp:positionH>
            <wp:positionV relativeFrom="paragraph">
              <wp:posOffset>7668</wp:posOffset>
            </wp:positionV>
            <wp:extent cx="4723954" cy="288000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23954" cy="2880000"/>
                    </a:xfrm>
                    <a:prstGeom prst="rect">
                      <a:avLst/>
                    </a:prstGeom>
                    <a:noFill/>
                  </pic:spPr>
                </pic:pic>
              </a:graphicData>
            </a:graphic>
            <wp14:sizeRelH relativeFrom="margin">
              <wp14:pctWidth>0</wp14:pctWidth>
            </wp14:sizeRelH>
            <wp14:sizeRelV relativeFrom="margin">
              <wp14:pctHeight>0</wp14:pctHeight>
            </wp14:sizeRelV>
          </wp:anchor>
        </w:drawing>
      </w:r>
      <w:r w:rsidR="003C25B1">
        <w:br w:type="page"/>
      </w:r>
      <w:r w:rsidR="00F2133F">
        <w:rPr>
          <w:rFonts w:ascii="Calibri" w:hAnsi="Calibri"/>
          <w:sz w:val="22"/>
          <w:szCs w:val="22"/>
        </w:rPr>
        <w:lastRenderedPageBreak/>
        <w:t>Worldwide</w:t>
      </w:r>
      <w:r w:rsidR="00F2133F" w:rsidRPr="00CD6514">
        <w:rPr>
          <w:rFonts w:ascii="Calibri" w:hAnsi="Calibri"/>
          <w:sz w:val="22"/>
          <w:szCs w:val="22"/>
        </w:rPr>
        <w:t xml:space="preserve"> </w:t>
      </w:r>
      <w:r w:rsidR="00F2133F">
        <w:rPr>
          <w:rFonts w:ascii="Calibri" w:hAnsi="Calibri"/>
          <w:sz w:val="22"/>
          <w:szCs w:val="22"/>
        </w:rPr>
        <w:t>n</w:t>
      </w:r>
      <w:r w:rsidR="00F2133F" w:rsidRPr="00CD6514">
        <w:rPr>
          <w:rFonts w:ascii="Calibri" w:hAnsi="Calibri"/>
          <w:sz w:val="22"/>
          <w:szCs w:val="22"/>
        </w:rPr>
        <w:t xml:space="preserve">et </w:t>
      </w:r>
      <w:r w:rsidR="00F2133F" w:rsidRPr="00CD6514">
        <w:rPr>
          <w:rFonts w:ascii="Calibri" w:hAnsi="Calibri"/>
          <w:sz w:val="22"/>
          <w:szCs w:val="22"/>
          <w:lang w:val="en-US"/>
        </w:rPr>
        <w:t>sales</w:t>
      </w:r>
      <w:r w:rsidR="00F2133F" w:rsidRPr="00CD6514">
        <w:rPr>
          <w:rFonts w:ascii="Calibri" w:hAnsi="Calibri"/>
          <w:sz w:val="22"/>
          <w:szCs w:val="22"/>
        </w:rPr>
        <w:t xml:space="preserve"> </w:t>
      </w:r>
      <w:r w:rsidR="00F2133F" w:rsidRPr="00CD6514">
        <w:rPr>
          <w:rFonts w:ascii="Calibri" w:hAnsi="Calibri"/>
          <w:sz w:val="22"/>
          <w:szCs w:val="22"/>
          <w:lang w:val="en-US"/>
        </w:rPr>
        <w:t>of</w:t>
      </w:r>
      <w:r w:rsidR="00F2133F" w:rsidRPr="00CD6514">
        <w:rPr>
          <w:rFonts w:ascii="Calibri" w:hAnsi="Calibri"/>
          <w:sz w:val="22"/>
          <w:szCs w:val="22"/>
        </w:rPr>
        <w:t xml:space="preserve"> </w:t>
      </w:r>
      <w:r w:rsidR="00F2133F" w:rsidRPr="00CD6514">
        <w:rPr>
          <w:rFonts w:ascii="Calibri" w:hAnsi="Calibri"/>
          <w:sz w:val="22"/>
          <w:szCs w:val="22"/>
          <w:lang w:val="en-US"/>
        </w:rPr>
        <w:t xml:space="preserve">regulated </w:t>
      </w:r>
      <w:r w:rsidR="00F2133F">
        <w:rPr>
          <w:rFonts w:ascii="Calibri" w:hAnsi="Calibri"/>
          <w:sz w:val="22"/>
          <w:szCs w:val="22"/>
          <w:lang w:val="en-US"/>
        </w:rPr>
        <w:t>open-ended</w:t>
      </w:r>
      <w:r w:rsidR="00F2133F" w:rsidRPr="00CD6514">
        <w:rPr>
          <w:rFonts w:ascii="Calibri" w:hAnsi="Calibri"/>
          <w:sz w:val="22"/>
          <w:szCs w:val="22"/>
          <w:lang w:val="en-US"/>
        </w:rPr>
        <w:t xml:space="preserve"> funds </w:t>
      </w:r>
      <w:r w:rsidR="00F2133F">
        <w:rPr>
          <w:rFonts w:ascii="Calibri" w:hAnsi="Calibri"/>
          <w:sz w:val="22"/>
          <w:szCs w:val="22"/>
          <w:lang w:val="en-US"/>
        </w:rPr>
        <w:t>in</w:t>
      </w:r>
      <w:r w:rsidR="00F2133F">
        <w:rPr>
          <w:rFonts w:ascii="Calibri" w:hAnsi="Calibri"/>
          <w:sz w:val="22"/>
          <w:szCs w:val="22"/>
        </w:rPr>
        <w:t>creased to</w:t>
      </w:r>
      <w:r w:rsidR="00F2133F" w:rsidRPr="00CD6514">
        <w:rPr>
          <w:rFonts w:ascii="Calibri" w:hAnsi="Calibri"/>
          <w:sz w:val="22"/>
          <w:szCs w:val="22"/>
        </w:rPr>
        <w:t xml:space="preserve"> </w:t>
      </w:r>
      <w:r w:rsidR="00F2133F">
        <w:rPr>
          <w:rFonts w:ascii="Calibri" w:hAnsi="Calibri"/>
          <w:sz w:val="22"/>
          <w:szCs w:val="22"/>
        </w:rPr>
        <w:t>EUR 808</w:t>
      </w:r>
      <w:r w:rsidR="00F2133F">
        <w:rPr>
          <w:rFonts w:ascii="Calibri" w:hAnsi="Calibri"/>
          <w:sz w:val="22"/>
          <w:szCs w:val="22"/>
          <w:lang w:val="en-US"/>
        </w:rPr>
        <w:t xml:space="preserve"> </w:t>
      </w:r>
      <w:r w:rsidR="00F2133F" w:rsidRPr="00CD6514">
        <w:rPr>
          <w:rFonts w:ascii="Calibri" w:hAnsi="Calibri"/>
          <w:sz w:val="22"/>
          <w:szCs w:val="22"/>
        </w:rPr>
        <w:t xml:space="preserve">billion in the </w:t>
      </w:r>
      <w:r w:rsidR="00F2133F">
        <w:rPr>
          <w:rFonts w:ascii="Calibri" w:hAnsi="Calibri"/>
          <w:sz w:val="22"/>
          <w:szCs w:val="22"/>
        </w:rPr>
        <w:t xml:space="preserve">last quarter </w:t>
      </w:r>
      <w:r w:rsidR="00F2133F" w:rsidRPr="003A6E94">
        <w:rPr>
          <w:rFonts w:ascii="Calibri" w:hAnsi="Calibri"/>
          <w:sz w:val="22"/>
          <w:szCs w:val="22"/>
        </w:rPr>
        <w:t xml:space="preserve">of </w:t>
      </w:r>
      <w:r w:rsidR="00F2133F">
        <w:rPr>
          <w:rFonts w:ascii="Calibri" w:hAnsi="Calibri"/>
          <w:sz w:val="22"/>
          <w:szCs w:val="22"/>
        </w:rPr>
        <w:t>2019, from EUR 622 billion in Q3</w:t>
      </w:r>
      <w:r w:rsidR="00F2133F">
        <w:rPr>
          <w:rFonts w:ascii="Calibri" w:hAnsi="Calibri"/>
          <w:sz w:val="22"/>
          <w:szCs w:val="22"/>
          <w:lang w:val="en-US"/>
        </w:rPr>
        <w:t xml:space="preserve"> 2019</w:t>
      </w:r>
      <w:r w:rsidR="00F2133F">
        <w:rPr>
          <w:rFonts w:ascii="Calibri" w:hAnsi="Calibri"/>
          <w:sz w:val="22"/>
          <w:szCs w:val="22"/>
        </w:rPr>
        <w:t xml:space="preserve">. </w:t>
      </w:r>
      <w:r w:rsidR="00F2133F" w:rsidRPr="00CD6514">
        <w:rPr>
          <w:rFonts w:ascii="Calibri" w:eastAsia="Calibri" w:hAnsi="Calibri"/>
          <w:sz w:val="22"/>
          <w:szCs w:val="22"/>
        </w:rPr>
        <w:t>Long-term f</w:t>
      </w:r>
      <w:r w:rsidR="00F2133F">
        <w:rPr>
          <w:rFonts w:ascii="Calibri" w:eastAsia="Calibri" w:hAnsi="Calibri"/>
          <w:sz w:val="22"/>
          <w:szCs w:val="22"/>
        </w:rPr>
        <w:t xml:space="preserve">unds recorded net sales of EUR 549 </w:t>
      </w:r>
      <w:r w:rsidR="00F2133F" w:rsidRPr="00CD6514">
        <w:rPr>
          <w:rFonts w:ascii="Calibri" w:eastAsia="Calibri" w:hAnsi="Calibri"/>
          <w:sz w:val="22"/>
          <w:szCs w:val="22"/>
        </w:rPr>
        <w:t xml:space="preserve">billion, </w:t>
      </w:r>
      <w:r w:rsidR="00F2133F">
        <w:rPr>
          <w:rFonts w:ascii="Calibri" w:eastAsia="Calibri" w:hAnsi="Calibri"/>
          <w:sz w:val="22"/>
          <w:szCs w:val="22"/>
        </w:rPr>
        <w:t>up from EUR 342 billion in the previous quarter</w:t>
      </w:r>
      <w:r w:rsidR="00F2133F" w:rsidRPr="00CD6514">
        <w:rPr>
          <w:rFonts w:ascii="Calibri" w:eastAsia="Calibri" w:hAnsi="Calibri"/>
          <w:sz w:val="22"/>
          <w:szCs w:val="22"/>
        </w:rPr>
        <w:t>.</w:t>
      </w:r>
      <w:r w:rsidR="00F2133F">
        <w:rPr>
          <w:rFonts w:ascii="Calibri" w:hAnsi="Calibri"/>
          <w:sz w:val="22"/>
          <w:szCs w:val="22"/>
        </w:rPr>
        <w:t xml:space="preserve"> </w:t>
      </w:r>
      <w:r w:rsidR="00F2133F" w:rsidRPr="00CD6514">
        <w:rPr>
          <w:rFonts w:ascii="Calibri" w:hAnsi="Calibri"/>
          <w:sz w:val="22"/>
          <w:szCs w:val="22"/>
        </w:rPr>
        <w:t>Globally,</w:t>
      </w:r>
      <w:r w:rsidR="00F2133F" w:rsidRPr="00143751">
        <w:rPr>
          <w:rFonts w:ascii="Calibri" w:hAnsi="Calibri"/>
          <w:sz w:val="22"/>
          <w:szCs w:val="22"/>
        </w:rPr>
        <w:t xml:space="preserve"> </w:t>
      </w:r>
      <w:r w:rsidR="00F2133F">
        <w:rPr>
          <w:rFonts w:ascii="Calibri" w:hAnsi="Calibri"/>
          <w:sz w:val="22"/>
          <w:szCs w:val="22"/>
        </w:rPr>
        <w:t>b</w:t>
      </w:r>
      <w:r w:rsidR="00F2133F" w:rsidRPr="00CD6514">
        <w:rPr>
          <w:rFonts w:ascii="Calibri" w:hAnsi="Calibri"/>
          <w:sz w:val="22"/>
          <w:szCs w:val="22"/>
        </w:rPr>
        <w:t xml:space="preserve">ond funds </w:t>
      </w:r>
      <w:r w:rsidR="00F2133F">
        <w:rPr>
          <w:rFonts w:ascii="Calibri" w:hAnsi="Calibri"/>
          <w:sz w:val="22"/>
          <w:szCs w:val="22"/>
        </w:rPr>
        <w:t>recorded</w:t>
      </w:r>
      <w:r w:rsidR="00F2133F" w:rsidRPr="00CD6514">
        <w:rPr>
          <w:rFonts w:ascii="Calibri" w:hAnsi="Calibri"/>
          <w:sz w:val="22"/>
          <w:szCs w:val="22"/>
        </w:rPr>
        <w:t xml:space="preserve"> </w:t>
      </w:r>
      <w:r w:rsidR="00F2133F">
        <w:rPr>
          <w:rFonts w:ascii="Calibri" w:hAnsi="Calibri"/>
          <w:sz w:val="22"/>
          <w:szCs w:val="22"/>
        </w:rPr>
        <w:t xml:space="preserve">net sales of EUR 234 billion, compared to </w:t>
      </w:r>
      <w:r w:rsidR="00F2133F">
        <w:rPr>
          <w:rFonts w:ascii="Calibri" w:hAnsi="Calibri"/>
          <w:sz w:val="22"/>
          <w:szCs w:val="22"/>
          <w:lang w:val="en-US"/>
        </w:rPr>
        <w:t>EUR 245 billion in the previous quarter.</w:t>
      </w:r>
      <w:r w:rsidR="00F2133F">
        <w:rPr>
          <w:rFonts w:ascii="Calibri" w:hAnsi="Calibri"/>
          <w:sz w:val="22"/>
          <w:szCs w:val="22"/>
        </w:rPr>
        <w:t xml:space="preserve"> Net sales of equity </w:t>
      </w:r>
      <w:r w:rsidR="00F2133F" w:rsidRPr="009D3B1D">
        <w:rPr>
          <w:rFonts w:ascii="Calibri" w:hAnsi="Calibri"/>
          <w:sz w:val="22"/>
          <w:szCs w:val="22"/>
        </w:rPr>
        <w:t>funds recovered strongly, from EUR 0.4 billion in Q3 2019 to EUR 134 billion in Q4 2019.</w:t>
      </w:r>
      <w:r w:rsidR="00F2133F">
        <w:rPr>
          <w:rFonts w:ascii="Calibri" w:hAnsi="Calibri"/>
          <w:sz w:val="22"/>
          <w:szCs w:val="22"/>
        </w:rPr>
        <w:t xml:space="preserve"> Net inflows into</w:t>
      </w:r>
      <w:r w:rsidR="00F2133F" w:rsidRPr="00CD6514">
        <w:rPr>
          <w:rFonts w:ascii="Calibri" w:hAnsi="Calibri"/>
          <w:sz w:val="22"/>
          <w:szCs w:val="22"/>
        </w:rPr>
        <w:t xml:space="preserve"> balanced/mix</w:t>
      </w:r>
      <w:r w:rsidR="00F2133F">
        <w:rPr>
          <w:rFonts w:ascii="Calibri" w:hAnsi="Calibri"/>
          <w:sz w:val="22"/>
          <w:szCs w:val="22"/>
        </w:rPr>
        <w:t>ed funds worldwide totalled EUR 120 billion, up from EUR 50 billion in Q3 2019. Net sales of money market funds amounted to EUR 259 billion in the fourth quarter of 2019, compared to EUR 279 billion in Q3 2019.</w:t>
      </w:r>
    </w:p>
    <w:p w14:paraId="1CC4543B" w14:textId="0407FA35" w:rsidR="001750B7" w:rsidRPr="001750B7" w:rsidRDefault="00A34BE5" w:rsidP="00A91964">
      <w:pPr>
        <w:pStyle w:val="BodyTextIndent"/>
        <w:spacing w:after="0" w:line="300" w:lineRule="exact"/>
        <w:ind w:left="0"/>
        <w:jc w:val="both"/>
        <w:rPr>
          <w:rFonts w:ascii="Calibri" w:hAnsi="Calibri"/>
          <w:sz w:val="22"/>
          <w:szCs w:val="22"/>
        </w:rPr>
      </w:pPr>
      <w:r>
        <w:rPr>
          <w:noProof/>
        </w:rPr>
        <w:drawing>
          <wp:anchor distT="0" distB="0" distL="114300" distR="114300" simplePos="0" relativeHeight="251745792" behindDoc="0" locked="0" layoutInCell="1" allowOverlap="1" wp14:anchorId="38D7C863" wp14:editId="41167934">
            <wp:simplePos x="0" y="0"/>
            <wp:positionH relativeFrom="margin">
              <wp:align>center</wp:align>
            </wp:positionH>
            <wp:positionV relativeFrom="paragraph">
              <wp:posOffset>189865</wp:posOffset>
            </wp:positionV>
            <wp:extent cx="5006340" cy="3059430"/>
            <wp:effectExtent l="0" t="0" r="381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6340" cy="3059430"/>
                    </a:xfrm>
                    <a:prstGeom prst="rect">
                      <a:avLst/>
                    </a:prstGeom>
                    <a:noFill/>
                  </pic:spPr>
                </pic:pic>
              </a:graphicData>
            </a:graphic>
            <wp14:sizeRelH relativeFrom="margin">
              <wp14:pctWidth>0</wp14:pctWidth>
            </wp14:sizeRelH>
            <wp14:sizeRelV relativeFrom="margin">
              <wp14:pctHeight>0</wp14:pctHeight>
            </wp14:sizeRelV>
          </wp:anchor>
        </w:drawing>
      </w:r>
    </w:p>
    <w:p w14:paraId="122C65C9" w14:textId="3BF5262E" w:rsidR="009D37D6" w:rsidRDefault="00A34BE5" w:rsidP="00494C2C">
      <w:pPr>
        <w:jc w:val="both"/>
        <w:rPr>
          <w:rFonts w:ascii="Calibri" w:hAnsi="Calibri"/>
          <w:sz w:val="22"/>
          <w:szCs w:val="22"/>
        </w:rPr>
      </w:pPr>
      <w:r w:rsidRPr="00A34BE5">
        <w:rPr>
          <w:noProof/>
        </w:rPr>
        <w:drawing>
          <wp:anchor distT="0" distB="0" distL="114300" distR="114300" simplePos="0" relativeHeight="251746816" behindDoc="0" locked="0" layoutInCell="1" allowOverlap="1" wp14:anchorId="12BED6FC" wp14:editId="31829DB9">
            <wp:simplePos x="0" y="0"/>
            <wp:positionH relativeFrom="margin">
              <wp:posOffset>-40640</wp:posOffset>
            </wp:positionH>
            <wp:positionV relativeFrom="paragraph">
              <wp:posOffset>3607044</wp:posOffset>
            </wp:positionV>
            <wp:extent cx="6486946" cy="2700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6946"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7EF">
        <w:br w:type="page"/>
      </w:r>
      <w:r w:rsidR="00F2133F" w:rsidRPr="00DC1DE4">
        <w:rPr>
          <w:rFonts w:ascii="Calibri" w:hAnsi="Calibri"/>
          <w:sz w:val="22"/>
          <w:szCs w:val="22"/>
        </w:rPr>
        <w:lastRenderedPageBreak/>
        <w:t xml:space="preserve">Net sales of regulated open-ended funds reached EUR </w:t>
      </w:r>
      <w:r w:rsidR="00F2133F">
        <w:rPr>
          <w:rFonts w:ascii="Calibri" w:hAnsi="Calibri"/>
          <w:sz w:val="22"/>
          <w:szCs w:val="22"/>
        </w:rPr>
        <w:t>394</w:t>
      </w:r>
      <w:r w:rsidR="00F2133F" w:rsidRPr="00DC1DE4">
        <w:rPr>
          <w:rFonts w:ascii="Calibri" w:hAnsi="Calibri"/>
          <w:sz w:val="22"/>
          <w:szCs w:val="22"/>
        </w:rPr>
        <w:t xml:space="preserve"> billion in the United States, EUR </w:t>
      </w:r>
      <w:r w:rsidR="00F2133F">
        <w:rPr>
          <w:rFonts w:ascii="Calibri" w:hAnsi="Calibri"/>
          <w:sz w:val="22"/>
          <w:szCs w:val="22"/>
        </w:rPr>
        <w:t>183</w:t>
      </w:r>
      <w:r w:rsidR="00F2133F" w:rsidRPr="00DC1DE4">
        <w:rPr>
          <w:rFonts w:ascii="Calibri" w:hAnsi="Calibri"/>
          <w:sz w:val="22"/>
          <w:szCs w:val="22"/>
        </w:rPr>
        <w:t xml:space="preserve"> billion in Europe</w:t>
      </w:r>
      <w:r w:rsidR="00F2133F">
        <w:rPr>
          <w:rFonts w:ascii="Calibri" w:hAnsi="Calibri"/>
          <w:sz w:val="22"/>
          <w:szCs w:val="22"/>
        </w:rPr>
        <w:t xml:space="preserve"> and </w:t>
      </w:r>
      <w:r w:rsidR="00F2133F" w:rsidRPr="00DC1DE4">
        <w:rPr>
          <w:rFonts w:ascii="Calibri" w:hAnsi="Calibri"/>
          <w:sz w:val="22"/>
          <w:szCs w:val="22"/>
        </w:rPr>
        <w:t xml:space="preserve">EUR </w:t>
      </w:r>
      <w:r w:rsidR="00F2133F">
        <w:rPr>
          <w:rFonts w:ascii="Calibri" w:hAnsi="Calibri"/>
          <w:sz w:val="22"/>
          <w:szCs w:val="22"/>
        </w:rPr>
        <w:t xml:space="preserve">83 </w:t>
      </w:r>
      <w:r w:rsidR="00F2133F" w:rsidRPr="00DC1DE4">
        <w:rPr>
          <w:rFonts w:ascii="Calibri" w:hAnsi="Calibri"/>
          <w:sz w:val="22"/>
          <w:szCs w:val="22"/>
        </w:rPr>
        <w:t>billion in the other advanced economies</w:t>
      </w:r>
      <w:r w:rsidR="00F2133F" w:rsidRPr="00DC1DE4">
        <w:rPr>
          <w:rStyle w:val="FootnoteReference"/>
          <w:rFonts w:ascii="Calibri" w:hAnsi="Calibri"/>
          <w:sz w:val="22"/>
          <w:szCs w:val="22"/>
        </w:rPr>
        <w:footnoteReference w:id="2"/>
      </w:r>
      <w:r w:rsidR="00F2133F" w:rsidRPr="00DC1DE4">
        <w:rPr>
          <w:rFonts w:ascii="Calibri" w:hAnsi="Calibri"/>
          <w:sz w:val="22"/>
          <w:szCs w:val="22"/>
        </w:rPr>
        <w:t xml:space="preserve"> (of which </w:t>
      </w:r>
      <w:r w:rsidR="00F2133F">
        <w:rPr>
          <w:rFonts w:ascii="Calibri" w:hAnsi="Calibri"/>
          <w:sz w:val="22"/>
          <w:szCs w:val="22"/>
        </w:rPr>
        <w:t xml:space="preserve">net inflows of </w:t>
      </w:r>
      <w:r w:rsidR="00F2133F" w:rsidRPr="00DC1DE4">
        <w:rPr>
          <w:rFonts w:ascii="Calibri" w:hAnsi="Calibri"/>
          <w:sz w:val="22"/>
          <w:szCs w:val="22"/>
        </w:rPr>
        <w:t xml:space="preserve">EUR </w:t>
      </w:r>
      <w:r w:rsidR="00F2133F">
        <w:rPr>
          <w:rFonts w:ascii="Calibri" w:hAnsi="Calibri"/>
          <w:sz w:val="22"/>
          <w:szCs w:val="22"/>
        </w:rPr>
        <w:t>39 billion in Canada and 27</w:t>
      </w:r>
      <w:r w:rsidR="00F2133F" w:rsidRPr="00DC1DE4">
        <w:rPr>
          <w:rFonts w:ascii="Calibri" w:hAnsi="Calibri"/>
          <w:sz w:val="22"/>
          <w:szCs w:val="22"/>
        </w:rPr>
        <w:t xml:space="preserve"> billion in Japan). </w:t>
      </w:r>
      <w:r w:rsidR="00F2133F">
        <w:rPr>
          <w:rFonts w:ascii="Calibri" w:hAnsi="Calibri"/>
          <w:sz w:val="22"/>
          <w:szCs w:val="22"/>
        </w:rPr>
        <w:t>E</w:t>
      </w:r>
      <w:r w:rsidR="00F2133F" w:rsidRPr="00DC1DE4">
        <w:rPr>
          <w:rFonts w:ascii="Calibri" w:hAnsi="Calibri"/>
          <w:sz w:val="22"/>
          <w:szCs w:val="22"/>
        </w:rPr>
        <w:t>merging markets</w:t>
      </w:r>
      <w:r w:rsidR="00F2133F" w:rsidRPr="00DC1DE4">
        <w:rPr>
          <w:rStyle w:val="FootnoteReference"/>
          <w:rFonts w:ascii="Calibri" w:hAnsi="Calibri"/>
          <w:sz w:val="22"/>
          <w:szCs w:val="22"/>
        </w:rPr>
        <w:footnoteReference w:id="3"/>
      </w:r>
      <w:r w:rsidR="00F2133F" w:rsidRPr="00DC1DE4">
        <w:rPr>
          <w:rFonts w:ascii="Calibri" w:hAnsi="Calibri"/>
          <w:sz w:val="22"/>
          <w:szCs w:val="22"/>
        </w:rPr>
        <w:t xml:space="preserve"> </w:t>
      </w:r>
      <w:r w:rsidR="00F2133F">
        <w:rPr>
          <w:rFonts w:ascii="Calibri" w:hAnsi="Calibri"/>
          <w:sz w:val="22"/>
          <w:szCs w:val="22"/>
        </w:rPr>
        <w:t>recorded net inflows of EUR 148 billion, mainly driven by strong inflows in China (EUR 134 billion). All regions, except Europe, experienced an increase in net sales compared to Q3 2019.</w:t>
      </w:r>
    </w:p>
    <w:p w14:paraId="46C68B33" w14:textId="77777777" w:rsidR="00F2133F" w:rsidRDefault="00F2133F" w:rsidP="00494C2C">
      <w:pPr>
        <w:jc w:val="both"/>
        <w:rPr>
          <w:rFonts w:ascii="Calibri" w:hAnsi="Calibri"/>
          <w:sz w:val="22"/>
          <w:szCs w:val="22"/>
        </w:rPr>
      </w:pPr>
    </w:p>
    <w:p w14:paraId="58D11081" w14:textId="11880154" w:rsidR="002E483E" w:rsidRDefault="00767A28" w:rsidP="00A91964">
      <w:pPr>
        <w:pStyle w:val="BodyTextIndent"/>
        <w:spacing w:after="0" w:line="300" w:lineRule="exact"/>
        <w:ind w:left="0"/>
        <w:jc w:val="both"/>
      </w:pPr>
      <w:r>
        <w:rPr>
          <w:noProof/>
        </w:rPr>
        <w:drawing>
          <wp:anchor distT="0" distB="0" distL="114300" distR="114300" simplePos="0" relativeHeight="251747840" behindDoc="0" locked="0" layoutInCell="1" allowOverlap="1" wp14:anchorId="75BCDE3C" wp14:editId="69A2810A">
            <wp:simplePos x="0" y="0"/>
            <wp:positionH relativeFrom="margin">
              <wp:align>center</wp:align>
            </wp:positionH>
            <wp:positionV relativeFrom="paragraph">
              <wp:posOffset>86409</wp:posOffset>
            </wp:positionV>
            <wp:extent cx="6076177" cy="2725200"/>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76177" cy="2725200"/>
                    </a:xfrm>
                    <a:prstGeom prst="rect">
                      <a:avLst/>
                    </a:prstGeom>
                    <a:noFill/>
                  </pic:spPr>
                </pic:pic>
              </a:graphicData>
            </a:graphic>
            <wp14:sizeRelH relativeFrom="margin">
              <wp14:pctWidth>0</wp14:pctWidth>
            </wp14:sizeRelH>
            <wp14:sizeRelV relativeFrom="margin">
              <wp14:pctHeight>0</wp14:pctHeight>
            </wp14:sizeRelV>
          </wp:anchor>
        </w:drawing>
      </w:r>
    </w:p>
    <w:p w14:paraId="67731148" w14:textId="41030967" w:rsidR="001B55C7" w:rsidRDefault="001B55C7" w:rsidP="00A91964">
      <w:pPr>
        <w:pStyle w:val="BodyTextIndent"/>
        <w:spacing w:after="0" w:line="300" w:lineRule="exact"/>
        <w:ind w:left="0"/>
        <w:jc w:val="both"/>
      </w:pPr>
    </w:p>
    <w:p w14:paraId="446AF0FD" w14:textId="052A8310" w:rsidR="002E483E" w:rsidRDefault="002E483E" w:rsidP="00A91964">
      <w:pPr>
        <w:pStyle w:val="BodyTextIndent"/>
        <w:spacing w:after="0" w:line="300" w:lineRule="exact"/>
        <w:ind w:left="0"/>
        <w:jc w:val="both"/>
      </w:pPr>
    </w:p>
    <w:p w14:paraId="55AC0116" w14:textId="4447D356" w:rsidR="005B5A8E" w:rsidRDefault="005B5A8E" w:rsidP="00A91964">
      <w:pPr>
        <w:pStyle w:val="BodyTextIndent"/>
        <w:spacing w:after="0" w:line="300" w:lineRule="exact"/>
        <w:ind w:left="0"/>
        <w:jc w:val="both"/>
      </w:pPr>
    </w:p>
    <w:p w14:paraId="42B28767" w14:textId="11A1F020" w:rsidR="005B5A8E" w:rsidRDefault="005B5A8E" w:rsidP="00A91964">
      <w:pPr>
        <w:pStyle w:val="BodyTextIndent"/>
        <w:spacing w:after="0" w:line="300" w:lineRule="exact"/>
        <w:ind w:left="0"/>
        <w:jc w:val="both"/>
      </w:pPr>
    </w:p>
    <w:p w14:paraId="2C0ACE54" w14:textId="77777777" w:rsidR="00705876" w:rsidRDefault="00705876" w:rsidP="00A91964">
      <w:pPr>
        <w:pStyle w:val="BodyTextIndent"/>
        <w:spacing w:after="0" w:line="300" w:lineRule="exact"/>
        <w:ind w:left="0"/>
        <w:jc w:val="both"/>
        <w:rPr>
          <w:noProof/>
        </w:rPr>
      </w:pPr>
    </w:p>
    <w:p w14:paraId="79AF6C8E" w14:textId="77777777" w:rsidR="00705876" w:rsidRDefault="00705876" w:rsidP="00A91964">
      <w:pPr>
        <w:pStyle w:val="BodyTextIndent"/>
        <w:spacing w:after="0" w:line="300" w:lineRule="exact"/>
        <w:ind w:left="0"/>
        <w:jc w:val="both"/>
        <w:rPr>
          <w:noProof/>
        </w:rPr>
      </w:pPr>
    </w:p>
    <w:p w14:paraId="2F80E40B" w14:textId="57DE985D" w:rsidR="00705876" w:rsidRDefault="00705876" w:rsidP="00A91964">
      <w:pPr>
        <w:pStyle w:val="BodyTextIndent"/>
        <w:spacing w:after="0" w:line="300" w:lineRule="exact"/>
        <w:ind w:left="0"/>
        <w:jc w:val="both"/>
        <w:rPr>
          <w:noProof/>
        </w:rPr>
      </w:pPr>
    </w:p>
    <w:p w14:paraId="259E7841" w14:textId="77777777" w:rsidR="00705876" w:rsidRDefault="00705876" w:rsidP="00A91964">
      <w:pPr>
        <w:pStyle w:val="BodyTextIndent"/>
        <w:spacing w:after="0" w:line="300" w:lineRule="exact"/>
        <w:ind w:left="0"/>
        <w:jc w:val="both"/>
        <w:rPr>
          <w:noProof/>
        </w:rPr>
      </w:pPr>
    </w:p>
    <w:p w14:paraId="59CA68F4" w14:textId="77777777" w:rsidR="00705876" w:rsidRDefault="00705876" w:rsidP="00A91964">
      <w:pPr>
        <w:pStyle w:val="BodyTextIndent"/>
        <w:spacing w:after="0" w:line="300" w:lineRule="exact"/>
        <w:ind w:left="0"/>
        <w:jc w:val="both"/>
        <w:rPr>
          <w:noProof/>
        </w:rPr>
      </w:pPr>
    </w:p>
    <w:p w14:paraId="5A821356" w14:textId="77777777" w:rsidR="00705876" w:rsidRDefault="00705876" w:rsidP="00A91964">
      <w:pPr>
        <w:pStyle w:val="BodyTextIndent"/>
        <w:spacing w:after="0" w:line="300" w:lineRule="exact"/>
        <w:ind w:left="0"/>
        <w:jc w:val="both"/>
        <w:rPr>
          <w:noProof/>
        </w:rPr>
      </w:pPr>
    </w:p>
    <w:p w14:paraId="09DC1419" w14:textId="77777777" w:rsidR="00705876" w:rsidRDefault="00705876" w:rsidP="00A91964">
      <w:pPr>
        <w:pStyle w:val="BodyTextIndent"/>
        <w:spacing w:after="0" w:line="300" w:lineRule="exact"/>
        <w:ind w:left="0"/>
        <w:jc w:val="both"/>
        <w:rPr>
          <w:noProof/>
        </w:rPr>
      </w:pPr>
    </w:p>
    <w:p w14:paraId="07468A3A" w14:textId="77777777" w:rsidR="00705876" w:rsidRDefault="00705876" w:rsidP="00A91964">
      <w:pPr>
        <w:pStyle w:val="BodyTextIndent"/>
        <w:spacing w:after="0" w:line="300" w:lineRule="exact"/>
        <w:ind w:left="0"/>
        <w:jc w:val="both"/>
        <w:rPr>
          <w:noProof/>
        </w:rPr>
      </w:pPr>
    </w:p>
    <w:p w14:paraId="5E4B82CE" w14:textId="77777777" w:rsidR="00705876" w:rsidRDefault="00705876" w:rsidP="00A91964">
      <w:pPr>
        <w:pStyle w:val="BodyTextIndent"/>
        <w:spacing w:after="0" w:line="300" w:lineRule="exact"/>
        <w:ind w:left="0"/>
        <w:jc w:val="both"/>
        <w:rPr>
          <w:noProof/>
        </w:rPr>
      </w:pPr>
    </w:p>
    <w:p w14:paraId="42922F5C" w14:textId="77777777" w:rsidR="00705876" w:rsidRDefault="00705876" w:rsidP="00A91964">
      <w:pPr>
        <w:pStyle w:val="BodyTextIndent"/>
        <w:spacing w:after="0" w:line="300" w:lineRule="exact"/>
        <w:ind w:left="0"/>
        <w:jc w:val="both"/>
        <w:rPr>
          <w:noProof/>
        </w:rPr>
      </w:pPr>
    </w:p>
    <w:p w14:paraId="279B9A9B" w14:textId="77777777" w:rsidR="00705876" w:rsidRDefault="00705876" w:rsidP="00A91964">
      <w:pPr>
        <w:pStyle w:val="BodyTextIndent"/>
        <w:spacing w:after="0" w:line="300" w:lineRule="exact"/>
        <w:ind w:left="0"/>
        <w:jc w:val="both"/>
        <w:rPr>
          <w:noProof/>
        </w:rPr>
      </w:pPr>
    </w:p>
    <w:p w14:paraId="2C9FEF8E" w14:textId="0C80E975" w:rsidR="00705876" w:rsidRDefault="00705876" w:rsidP="00A91964">
      <w:pPr>
        <w:pStyle w:val="BodyTextIndent"/>
        <w:spacing w:after="0" w:line="300" w:lineRule="exact"/>
        <w:ind w:left="0"/>
        <w:jc w:val="both"/>
        <w:rPr>
          <w:noProof/>
        </w:rPr>
      </w:pPr>
    </w:p>
    <w:p w14:paraId="72D9A903" w14:textId="6079DEBB" w:rsidR="00705876" w:rsidRDefault="00E70A1E" w:rsidP="00A91964">
      <w:pPr>
        <w:pStyle w:val="BodyTextIndent"/>
        <w:spacing w:after="0" w:line="300" w:lineRule="exact"/>
        <w:ind w:left="0"/>
        <w:jc w:val="both"/>
        <w:rPr>
          <w:noProof/>
        </w:rPr>
      </w:pPr>
      <w:r>
        <w:rPr>
          <w:noProof/>
        </w:rPr>
        <w:drawing>
          <wp:anchor distT="0" distB="0" distL="114300" distR="114300" simplePos="0" relativeHeight="251750912" behindDoc="0" locked="0" layoutInCell="1" allowOverlap="1" wp14:anchorId="4020DF7A" wp14:editId="59EF19A9">
            <wp:simplePos x="0" y="0"/>
            <wp:positionH relativeFrom="column">
              <wp:posOffset>170180</wp:posOffset>
            </wp:positionH>
            <wp:positionV relativeFrom="paragraph">
              <wp:posOffset>175211</wp:posOffset>
            </wp:positionV>
            <wp:extent cx="6073252" cy="269280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73252" cy="2692800"/>
                    </a:xfrm>
                    <a:prstGeom prst="rect">
                      <a:avLst/>
                    </a:prstGeom>
                    <a:noFill/>
                  </pic:spPr>
                </pic:pic>
              </a:graphicData>
            </a:graphic>
            <wp14:sizeRelH relativeFrom="margin">
              <wp14:pctWidth>0</wp14:pctWidth>
            </wp14:sizeRelH>
            <wp14:sizeRelV relativeFrom="margin">
              <wp14:pctHeight>0</wp14:pctHeight>
            </wp14:sizeRelV>
          </wp:anchor>
        </w:drawing>
      </w:r>
    </w:p>
    <w:p w14:paraId="56014F29" w14:textId="3E15AC25" w:rsidR="002E3EE6" w:rsidRDefault="002E3EE6" w:rsidP="00A91964">
      <w:pPr>
        <w:pStyle w:val="BodyTextIndent"/>
        <w:spacing w:after="0" w:line="300" w:lineRule="exact"/>
        <w:ind w:left="0"/>
        <w:jc w:val="both"/>
      </w:pPr>
      <w:r>
        <w:br w:type="page"/>
      </w:r>
    </w:p>
    <w:p w14:paraId="7008EB39" w14:textId="76C206A5" w:rsidR="00F2133F" w:rsidRDefault="00F2133F" w:rsidP="00F2133F">
      <w:pPr>
        <w:pStyle w:val="BodyTextIndent"/>
        <w:spacing w:after="0" w:line="300" w:lineRule="exact"/>
        <w:ind w:left="0"/>
        <w:jc w:val="both"/>
        <w:rPr>
          <w:rFonts w:ascii="Calibri" w:hAnsi="Calibri"/>
          <w:bCs/>
          <w:color w:val="000000"/>
          <w:sz w:val="22"/>
          <w:szCs w:val="22"/>
        </w:rPr>
      </w:pPr>
      <w:r>
        <w:rPr>
          <w:rFonts w:ascii="Calibri" w:hAnsi="Calibri"/>
          <w:bCs/>
          <w:color w:val="000000"/>
          <w:sz w:val="22"/>
          <w:szCs w:val="22"/>
        </w:rPr>
        <w:lastRenderedPageBreak/>
        <w:t>In Europe</w:t>
      </w:r>
      <w:r w:rsidRPr="003E779F">
        <w:rPr>
          <w:rFonts w:ascii="Calibri" w:hAnsi="Calibri"/>
          <w:bCs/>
          <w:color w:val="000000"/>
          <w:sz w:val="22"/>
          <w:szCs w:val="22"/>
        </w:rPr>
        <w:t>, l</w:t>
      </w:r>
      <w:r>
        <w:rPr>
          <w:rFonts w:ascii="Calibri" w:hAnsi="Calibri"/>
          <w:bCs/>
          <w:color w:val="000000"/>
          <w:sz w:val="22"/>
          <w:szCs w:val="22"/>
        </w:rPr>
        <w:t>ong-term funds</w:t>
      </w:r>
      <w:r w:rsidRPr="003E779F">
        <w:rPr>
          <w:rFonts w:ascii="Calibri" w:hAnsi="Calibri"/>
          <w:bCs/>
          <w:color w:val="000000"/>
          <w:sz w:val="22"/>
          <w:szCs w:val="22"/>
        </w:rPr>
        <w:t xml:space="preserve"> attracted </w:t>
      </w:r>
      <w:r>
        <w:rPr>
          <w:rFonts w:ascii="Calibri" w:hAnsi="Calibri"/>
          <w:bCs/>
          <w:color w:val="000000"/>
          <w:sz w:val="22"/>
          <w:szCs w:val="22"/>
        </w:rPr>
        <w:t>net sales</w:t>
      </w:r>
      <w:r w:rsidRPr="003E779F">
        <w:rPr>
          <w:rFonts w:ascii="Calibri" w:hAnsi="Calibri"/>
          <w:bCs/>
          <w:color w:val="000000"/>
          <w:sz w:val="22"/>
          <w:szCs w:val="22"/>
        </w:rPr>
        <w:t xml:space="preserve"> of EUR </w:t>
      </w:r>
      <w:r>
        <w:rPr>
          <w:rFonts w:ascii="Calibri" w:hAnsi="Calibri"/>
          <w:bCs/>
          <w:color w:val="000000"/>
          <w:sz w:val="22"/>
          <w:szCs w:val="22"/>
        </w:rPr>
        <w:t xml:space="preserve">188 </w:t>
      </w:r>
      <w:r w:rsidRPr="003E779F">
        <w:rPr>
          <w:rFonts w:ascii="Calibri" w:hAnsi="Calibri"/>
          <w:bCs/>
          <w:color w:val="000000"/>
          <w:sz w:val="22"/>
          <w:szCs w:val="22"/>
        </w:rPr>
        <w:t>billion</w:t>
      </w:r>
      <w:r>
        <w:rPr>
          <w:rFonts w:ascii="Calibri" w:hAnsi="Calibri"/>
          <w:bCs/>
          <w:color w:val="000000"/>
          <w:sz w:val="22"/>
          <w:szCs w:val="22"/>
        </w:rPr>
        <w:t>, up from</w:t>
      </w:r>
      <w:r w:rsidRPr="003E779F">
        <w:rPr>
          <w:rFonts w:ascii="Calibri" w:hAnsi="Calibri"/>
          <w:bCs/>
          <w:color w:val="000000"/>
          <w:sz w:val="22"/>
          <w:szCs w:val="22"/>
        </w:rPr>
        <w:t xml:space="preserve"> EUR </w:t>
      </w:r>
      <w:r>
        <w:rPr>
          <w:rFonts w:ascii="Calibri" w:hAnsi="Calibri"/>
          <w:bCs/>
          <w:color w:val="000000"/>
          <w:sz w:val="22"/>
          <w:szCs w:val="22"/>
        </w:rPr>
        <w:t xml:space="preserve">118 </w:t>
      </w:r>
      <w:r w:rsidRPr="003E779F">
        <w:rPr>
          <w:rFonts w:ascii="Calibri" w:hAnsi="Calibri"/>
          <w:bCs/>
          <w:color w:val="000000"/>
          <w:sz w:val="22"/>
          <w:szCs w:val="22"/>
        </w:rPr>
        <w:t>billion</w:t>
      </w:r>
      <w:r>
        <w:rPr>
          <w:rFonts w:ascii="Calibri" w:hAnsi="Calibri"/>
          <w:bCs/>
          <w:color w:val="000000"/>
          <w:sz w:val="22"/>
          <w:szCs w:val="22"/>
        </w:rPr>
        <w:t xml:space="preserve"> in the third quarter of 2019</w:t>
      </w:r>
      <w:r w:rsidRPr="003E779F">
        <w:rPr>
          <w:rFonts w:ascii="Calibri" w:hAnsi="Calibri"/>
          <w:bCs/>
          <w:color w:val="000000"/>
          <w:sz w:val="22"/>
          <w:szCs w:val="22"/>
        </w:rPr>
        <w:t xml:space="preserve">. </w:t>
      </w:r>
      <w:r w:rsidRPr="00EC48F0">
        <w:rPr>
          <w:rFonts w:ascii="Calibri" w:hAnsi="Calibri"/>
          <w:bCs/>
          <w:color w:val="000000"/>
          <w:sz w:val="22"/>
          <w:szCs w:val="22"/>
        </w:rPr>
        <w:t xml:space="preserve">Equity funds recorded net </w:t>
      </w:r>
      <w:r>
        <w:rPr>
          <w:rFonts w:ascii="Calibri" w:hAnsi="Calibri"/>
          <w:bCs/>
          <w:color w:val="000000"/>
          <w:sz w:val="22"/>
          <w:szCs w:val="22"/>
        </w:rPr>
        <w:t>in</w:t>
      </w:r>
      <w:r w:rsidRPr="00EC48F0">
        <w:rPr>
          <w:rFonts w:ascii="Calibri" w:hAnsi="Calibri"/>
          <w:bCs/>
          <w:color w:val="000000"/>
          <w:sz w:val="22"/>
          <w:szCs w:val="22"/>
        </w:rPr>
        <w:t xml:space="preserve">flows of EUR </w:t>
      </w:r>
      <w:r>
        <w:rPr>
          <w:rFonts w:ascii="Calibri" w:hAnsi="Calibri"/>
          <w:bCs/>
          <w:color w:val="000000"/>
          <w:sz w:val="22"/>
          <w:szCs w:val="22"/>
        </w:rPr>
        <w:t>55</w:t>
      </w:r>
      <w:r w:rsidRPr="00EC48F0">
        <w:rPr>
          <w:rFonts w:ascii="Calibri" w:hAnsi="Calibri"/>
          <w:bCs/>
          <w:color w:val="000000"/>
          <w:sz w:val="22"/>
          <w:szCs w:val="22"/>
        </w:rPr>
        <w:t xml:space="preserve"> billion, compared to net outflows of EUR </w:t>
      </w:r>
      <w:r>
        <w:rPr>
          <w:rFonts w:ascii="Calibri" w:hAnsi="Calibri"/>
          <w:bCs/>
          <w:color w:val="000000"/>
          <w:sz w:val="22"/>
          <w:szCs w:val="22"/>
        </w:rPr>
        <w:t>11</w:t>
      </w:r>
      <w:r w:rsidRPr="00EC48F0">
        <w:rPr>
          <w:rFonts w:ascii="Calibri" w:hAnsi="Calibri"/>
          <w:bCs/>
          <w:color w:val="000000"/>
          <w:sz w:val="22"/>
          <w:szCs w:val="22"/>
        </w:rPr>
        <w:t xml:space="preserve"> billion in Q</w:t>
      </w:r>
      <w:r>
        <w:rPr>
          <w:rFonts w:ascii="Calibri" w:hAnsi="Calibri"/>
          <w:bCs/>
          <w:color w:val="000000"/>
          <w:sz w:val="22"/>
          <w:szCs w:val="22"/>
        </w:rPr>
        <w:t>3</w:t>
      </w:r>
      <w:r w:rsidRPr="00EC48F0">
        <w:rPr>
          <w:rFonts w:ascii="Calibri" w:hAnsi="Calibri"/>
          <w:bCs/>
          <w:color w:val="000000"/>
          <w:sz w:val="22"/>
          <w:szCs w:val="22"/>
        </w:rPr>
        <w:t xml:space="preserve"> 2019.</w:t>
      </w:r>
      <w:r>
        <w:rPr>
          <w:rFonts w:ascii="Calibri" w:hAnsi="Calibri"/>
          <w:bCs/>
          <w:color w:val="000000"/>
          <w:sz w:val="22"/>
          <w:szCs w:val="22"/>
        </w:rPr>
        <w:t xml:space="preserve"> Bond funds recorded net inflows of EUR 37 billion, compared to net inflows of EUR 82 billion in the previous quarter. Net inflows into balanced/mixed funds amounted to EUR 57 billion, up from EUR 30 billion in Q3 2019. Money market funds recorded net outflows of </w:t>
      </w:r>
      <w:r w:rsidRPr="003E779F">
        <w:rPr>
          <w:rFonts w:ascii="Calibri" w:hAnsi="Calibri"/>
          <w:bCs/>
          <w:color w:val="000000"/>
          <w:sz w:val="22"/>
          <w:szCs w:val="22"/>
        </w:rPr>
        <w:t xml:space="preserve">EUR </w:t>
      </w:r>
      <w:r>
        <w:rPr>
          <w:rFonts w:ascii="Calibri" w:hAnsi="Calibri"/>
          <w:bCs/>
          <w:color w:val="000000"/>
          <w:sz w:val="22"/>
          <w:szCs w:val="22"/>
        </w:rPr>
        <w:t xml:space="preserve">5 </w:t>
      </w:r>
      <w:r w:rsidRPr="003E779F">
        <w:rPr>
          <w:rFonts w:ascii="Calibri" w:hAnsi="Calibri"/>
          <w:bCs/>
          <w:color w:val="000000"/>
          <w:sz w:val="22"/>
          <w:szCs w:val="22"/>
        </w:rPr>
        <w:t>billi</w:t>
      </w:r>
      <w:r>
        <w:rPr>
          <w:rFonts w:ascii="Calibri" w:hAnsi="Calibri"/>
          <w:bCs/>
          <w:color w:val="000000"/>
          <w:sz w:val="22"/>
          <w:szCs w:val="22"/>
        </w:rPr>
        <w:t xml:space="preserve">on, compared to net inflows of </w:t>
      </w:r>
      <w:r w:rsidRPr="003E779F">
        <w:rPr>
          <w:rFonts w:ascii="Calibri" w:hAnsi="Calibri"/>
          <w:bCs/>
          <w:color w:val="000000"/>
          <w:sz w:val="22"/>
          <w:szCs w:val="22"/>
        </w:rPr>
        <w:t>EUR</w:t>
      </w:r>
      <w:r>
        <w:rPr>
          <w:rFonts w:ascii="Calibri" w:hAnsi="Calibri"/>
          <w:bCs/>
          <w:color w:val="000000"/>
          <w:sz w:val="22"/>
          <w:szCs w:val="22"/>
        </w:rPr>
        <w:t xml:space="preserve"> 73 </w:t>
      </w:r>
      <w:r w:rsidRPr="003E779F">
        <w:rPr>
          <w:rFonts w:ascii="Calibri" w:hAnsi="Calibri"/>
          <w:bCs/>
          <w:color w:val="000000"/>
          <w:sz w:val="22"/>
          <w:szCs w:val="22"/>
        </w:rPr>
        <w:t xml:space="preserve">billion in the </w:t>
      </w:r>
      <w:r>
        <w:rPr>
          <w:rFonts w:ascii="Calibri" w:hAnsi="Calibri"/>
          <w:bCs/>
          <w:color w:val="000000"/>
          <w:sz w:val="22"/>
          <w:szCs w:val="22"/>
        </w:rPr>
        <w:t xml:space="preserve">third quarter of 2019. </w:t>
      </w:r>
    </w:p>
    <w:p w14:paraId="2134CF3D" w14:textId="3C02A550" w:rsidR="00F2133F" w:rsidRPr="003E779F" w:rsidRDefault="00F2133F" w:rsidP="00F2133F">
      <w:pPr>
        <w:pStyle w:val="BodyTextIndent"/>
        <w:spacing w:after="0" w:line="300" w:lineRule="exact"/>
        <w:ind w:left="0"/>
        <w:jc w:val="both"/>
        <w:rPr>
          <w:rFonts w:ascii="Calibri" w:hAnsi="Calibri"/>
        </w:rPr>
      </w:pPr>
    </w:p>
    <w:p w14:paraId="01FF0F6F" w14:textId="5A2A9E6F" w:rsidR="00F2133F" w:rsidRPr="009A2A5D" w:rsidRDefault="00F2133F" w:rsidP="00F2133F">
      <w:pPr>
        <w:pStyle w:val="BodyTextIndent"/>
        <w:spacing w:after="0" w:line="300" w:lineRule="exact"/>
        <w:ind w:left="0"/>
        <w:jc w:val="both"/>
        <w:rPr>
          <w:rFonts w:ascii="Calibri" w:hAnsi="Calibri"/>
          <w:sz w:val="22"/>
          <w:szCs w:val="22"/>
        </w:rPr>
      </w:pPr>
      <w:r>
        <w:rPr>
          <w:rFonts w:ascii="Calibri" w:hAnsi="Calibri"/>
          <w:sz w:val="22"/>
          <w:szCs w:val="22"/>
        </w:rPr>
        <w:t>In the United States</w:t>
      </w:r>
      <w:r w:rsidRPr="00A83543">
        <w:rPr>
          <w:rFonts w:ascii="Calibri" w:hAnsi="Calibri"/>
          <w:sz w:val="22"/>
          <w:szCs w:val="22"/>
        </w:rPr>
        <w:t>, long-</w:t>
      </w:r>
      <w:r w:rsidRPr="004B0FCE">
        <w:rPr>
          <w:rFonts w:ascii="Calibri" w:hAnsi="Calibri"/>
          <w:sz w:val="22"/>
          <w:szCs w:val="22"/>
        </w:rPr>
        <w:t xml:space="preserve">term open-ended funds recorded net sales of EUR </w:t>
      </w:r>
      <w:r>
        <w:rPr>
          <w:rFonts w:ascii="Calibri" w:hAnsi="Calibri"/>
          <w:sz w:val="22"/>
          <w:szCs w:val="22"/>
        </w:rPr>
        <w:t xml:space="preserve">222 </w:t>
      </w:r>
      <w:r w:rsidRPr="004B0FCE">
        <w:rPr>
          <w:rFonts w:ascii="Calibri" w:hAnsi="Calibri"/>
          <w:sz w:val="22"/>
          <w:szCs w:val="22"/>
        </w:rPr>
        <w:t>billion</w:t>
      </w:r>
      <w:r>
        <w:rPr>
          <w:rFonts w:ascii="Calibri" w:hAnsi="Calibri"/>
          <w:sz w:val="22"/>
          <w:szCs w:val="22"/>
        </w:rPr>
        <w:t>, up from</w:t>
      </w:r>
      <w:r w:rsidRPr="004B0FCE">
        <w:rPr>
          <w:rFonts w:ascii="Calibri" w:hAnsi="Calibri"/>
          <w:sz w:val="22"/>
          <w:szCs w:val="22"/>
        </w:rPr>
        <w:t xml:space="preserve"> EUR </w:t>
      </w:r>
      <w:r>
        <w:rPr>
          <w:rFonts w:ascii="Calibri" w:hAnsi="Calibri"/>
          <w:sz w:val="22"/>
          <w:szCs w:val="22"/>
        </w:rPr>
        <w:t xml:space="preserve">89 </w:t>
      </w:r>
      <w:r w:rsidRPr="004B0FCE">
        <w:rPr>
          <w:rFonts w:ascii="Calibri" w:hAnsi="Calibri"/>
          <w:sz w:val="22"/>
          <w:szCs w:val="22"/>
        </w:rPr>
        <w:t xml:space="preserve">billion in </w:t>
      </w:r>
      <w:r>
        <w:rPr>
          <w:rFonts w:ascii="Calibri" w:hAnsi="Calibri"/>
          <w:sz w:val="22"/>
          <w:szCs w:val="22"/>
        </w:rPr>
        <w:t>Q3</w:t>
      </w:r>
      <w:r w:rsidRPr="004B0FCE">
        <w:rPr>
          <w:rFonts w:ascii="Calibri" w:hAnsi="Calibri"/>
          <w:sz w:val="22"/>
          <w:szCs w:val="22"/>
        </w:rPr>
        <w:t xml:space="preserve"> 201</w:t>
      </w:r>
      <w:r>
        <w:rPr>
          <w:rFonts w:ascii="Calibri" w:hAnsi="Calibri"/>
          <w:sz w:val="22"/>
          <w:szCs w:val="22"/>
        </w:rPr>
        <w:t>9</w:t>
      </w:r>
      <w:r w:rsidRPr="004B0FCE">
        <w:rPr>
          <w:rFonts w:ascii="Calibri" w:hAnsi="Calibri"/>
          <w:sz w:val="22"/>
          <w:szCs w:val="22"/>
        </w:rPr>
        <w:t>. Equity funds recorded net</w:t>
      </w:r>
      <w:r>
        <w:rPr>
          <w:rFonts w:ascii="Calibri" w:hAnsi="Calibri"/>
          <w:sz w:val="22"/>
          <w:szCs w:val="22"/>
        </w:rPr>
        <w:t xml:space="preserve"> inflows</w:t>
      </w:r>
      <w:r w:rsidRPr="004B0FCE">
        <w:rPr>
          <w:rFonts w:ascii="Calibri" w:hAnsi="Calibri"/>
          <w:sz w:val="22"/>
          <w:szCs w:val="22"/>
        </w:rPr>
        <w:t xml:space="preserve"> of EUR </w:t>
      </w:r>
      <w:r>
        <w:rPr>
          <w:rFonts w:ascii="Calibri" w:hAnsi="Calibri"/>
          <w:sz w:val="22"/>
          <w:szCs w:val="22"/>
        </w:rPr>
        <w:t>33</w:t>
      </w:r>
      <w:r w:rsidRPr="004B0FCE">
        <w:rPr>
          <w:rFonts w:ascii="Calibri" w:hAnsi="Calibri"/>
          <w:sz w:val="22"/>
          <w:szCs w:val="22"/>
        </w:rPr>
        <w:t xml:space="preserve"> billion</w:t>
      </w:r>
      <w:r>
        <w:rPr>
          <w:rFonts w:ascii="Calibri" w:hAnsi="Calibri"/>
          <w:sz w:val="22"/>
          <w:szCs w:val="22"/>
        </w:rPr>
        <w:t>,</w:t>
      </w:r>
      <w:r w:rsidRPr="004B0FCE">
        <w:rPr>
          <w:rFonts w:ascii="Calibri" w:hAnsi="Calibri"/>
          <w:sz w:val="22"/>
          <w:szCs w:val="22"/>
        </w:rPr>
        <w:t xml:space="preserve"> compared to</w:t>
      </w:r>
      <w:r>
        <w:rPr>
          <w:rFonts w:ascii="Calibri" w:hAnsi="Calibri"/>
          <w:sz w:val="22"/>
          <w:szCs w:val="22"/>
        </w:rPr>
        <w:t xml:space="preserve"> net outflows of </w:t>
      </w:r>
      <w:r w:rsidRPr="004B0FCE">
        <w:rPr>
          <w:rFonts w:ascii="Calibri" w:hAnsi="Calibri"/>
          <w:sz w:val="22"/>
          <w:szCs w:val="22"/>
        </w:rPr>
        <w:t xml:space="preserve">EUR </w:t>
      </w:r>
      <w:r>
        <w:rPr>
          <w:rFonts w:ascii="Calibri" w:hAnsi="Calibri"/>
          <w:sz w:val="22"/>
          <w:szCs w:val="22"/>
        </w:rPr>
        <w:t xml:space="preserve">37 </w:t>
      </w:r>
      <w:r w:rsidRPr="004B0FCE">
        <w:rPr>
          <w:rFonts w:ascii="Calibri" w:hAnsi="Calibri"/>
          <w:sz w:val="22"/>
          <w:szCs w:val="22"/>
        </w:rPr>
        <w:t xml:space="preserve">billion in </w:t>
      </w:r>
      <w:r>
        <w:rPr>
          <w:rFonts w:ascii="Calibri" w:hAnsi="Calibri"/>
          <w:sz w:val="22"/>
          <w:szCs w:val="22"/>
        </w:rPr>
        <w:t>the previous quarter.</w:t>
      </w:r>
      <w:r w:rsidRPr="004B0FCE">
        <w:rPr>
          <w:rFonts w:ascii="Calibri" w:hAnsi="Calibri"/>
          <w:sz w:val="22"/>
          <w:szCs w:val="22"/>
        </w:rPr>
        <w:t xml:space="preserve"> </w:t>
      </w:r>
      <w:r>
        <w:rPr>
          <w:rFonts w:ascii="Calibri" w:hAnsi="Calibri"/>
          <w:sz w:val="22"/>
          <w:szCs w:val="22"/>
        </w:rPr>
        <w:t>Net sales of b</w:t>
      </w:r>
      <w:r w:rsidRPr="004B0FCE">
        <w:rPr>
          <w:rFonts w:ascii="Calibri" w:hAnsi="Calibri"/>
          <w:sz w:val="22"/>
          <w:szCs w:val="22"/>
        </w:rPr>
        <w:t xml:space="preserve">ond funds </w:t>
      </w:r>
      <w:r>
        <w:rPr>
          <w:rFonts w:ascii="Calibri" w:hAnsi="Calibri"/>
          <w:sz w:val="22"/>
          <w:szCs w:val="22"/>
        </w:rPr>
        <w:t>in</w:t>
      </w:r>
      <w:r w:rsidRPr="004B0FCE">
        <w:rPr>
          <w:rFonts w:ascii="Calibri" w:hAnsi="Calibri"/>
          <w:sz w:val="22"/>
          <w:szCs w:val="22"/>
        </w:rPr>
        <w:t xml:space="preserve">creased from EUR </w:t>
      </w:r>
      <w:r>
        <w:rPr>
          <w:rFonts w:ascii="Calibri" w:hAnsi="Calibri"/>
          <w:sz w:val="22"/>
          <w:szCs w:val="22"/>
        </w:rPr>
        <w:t>121</w:t>
      </w:r>
      <w:r w:rsidRPr="004B0FCE">
        <w:rPr>
          <w:rFonts w:ascii="Calibri" w:hAnsi="Calibri"/>
          <w:sz w:val="22"/>
          <w:szCs w:val="22"/>
        </w:rPr>
        <w:t xml:space="preserve"> billion in Q</w:t>
      </w:r>
      <w:r>
        <w:rPr>
          <w:rFonts w:ascii="Calibri" w:hAnsi="Calibri"/>
          <w:sz w:val="22"/>
          <w:szCs w:val="22"/>
        </w:rPr>
        <w:t>3</w:t>
      </w:r>
      <w:r w:rsidRPr="004B0FCE">
        <w:rPr>
          <w:rFonts w:ascii="Calibri" w:hAnsi="Calibri"/>
          <w:sz w:val="22"/>
          <w:szCs w:val="22"/>
        </w:rPr>
        <w:t xml:space="preserve"> 201</w:t>
      </w:r>
      <w:r>
        <w:rPr>
          <w:rFonts w:ascii="Calibri" w:hAnsi="Calibri"/>
          <w:sz w:val="22"/>
          <w:szCs w:val="22"/>
        </w:rPr>
        <w:t xml:space="preserve">9 </w:t>
      </w:r>
      <w:r w:rsidRPr="004B0FCE">
        <w:rPr>
          <w:rFonts w:ascii="Calibri" w:hAnsi="Calibri"/>
          <w:sz w:val="22"/>
          <w:szCs w:val="22"/>
        </w:rPr>
        <w:t>to</w:t>
      </w:r>
      <w:r>
        <w:rPr>
          <w:rFonts w:ascii="Calibri" w:hAnsi="Calibri"/>
          <w:sz w:val="22"/>
          <w:szCs w:val="22"/>
        </w:rPr>
        <w:t xml:space="preserve"> EUR 158</w:t>
      </w:r>
      <w:r w:rsidRPr="004B0FCE">
        <w:rPr>
          <w:rFonts w:ascii="Calibri" w:hAnsi="Calibri"/>
          <w:sz w:val="22"/>
          <w:szCs w:val="22"/>
        </w:rPr>
        <w:t xml:space="preserve"> billion in Q</w:t>
      </w:r>
      <w:r>
        <w:rPr>
          <w:rFonts w:ascii="Calibri" w:hAnsi="Calibri"/>
          <w:sz w:val="22"/>
          <w:szCs w:val="22"/>
        </w:rPr>
        <w:t>4</w:t>
      </w:r>
      <w:r w:rsidRPr="004B0FCE">
        <w:rPr>
          <w:rFonts w:ascii="Calibri" w:hAnsi="Calibri"/>
          <w:sz w:val="22"/>
          <w:szCs w:val="22"/>
        </w:rPr>
        <w:t xml:space="preserve"> 201</w:t>
      </w:r>
      <w:r>
        <w:rPr>
          <w:rFonts w:ascii="Calibri" w:hAnsi="Calibri"/>
          <w:sz w:val="22"/>
          <w:szCs w:val="22"/>
        </w:rPr>
        <w:t>9</w:t>
      </w:r>
      <w:r w:rsidRPr="004B0FCE">
        <w:rPr>
          <w:rFonts w:ascii="Calibri" w:hAnsi="Calibri"/>
          <w:sz w:val="22"/>
          <w:szCs w:val="22"/>
        </w:rPr>
        <w:t xml:space="preserve">. </w:t>
      </w:r>
      <w:r>
        <w:rPr>
          <w:rFonts w:ascii="Calibri" w:hAnsi="Calibri"/>
          <w:sz w:val="22"/>
          <w:szCs w:val="22"/>
        </w:rPr>
        <w:t>B</w:t>
      </w:r>
      <w:r w:rsidRPr="004B0FCE">
        <w:rPr>
          <w:rFonts w:ascii="Calibri" w:hAnsi="Calibri"/>
          <w:sz w:val="22"/>
          <w:szCs w:val="22"/>
        </w:rPr>
        <w:t xml:space="preserve">alanced/mixed funds </w:t>
      </w:r>
      <w:r>
        <w:rPr>
          <w:rFonts w:ascii="Calibri" w:hAnsi="Calibri"/>
          <w:sz w:val="22"/>
          <w:szCs w:val="22"/>
        </w:rPr>
        <w:t xml:space="preserve">registered net inflows of </w:t>
      </w:r>
      <w:r w:rsidRPr="004B0FCE">
        <w:rPr>
          <w:rFonts w:ascii="Calibri" w:hAnsi="Calibri"/>
          <w:sz w:val="22"/>
          <w:szCs w:val="22"/>
        </w:rPr>
        <w:t xml:space="preserve">EUR </w:t>
      </w:r>
      <w:r>
        <w:rPr>
          <w:rFonts w:ascii="Calibri" w:hAnsi="Calibri"/>
          <w:sz w:val="22"/>
          <w:szCs w:val="22"/>
        </w:rPr>
        <w:t xml:space="preserve">32 </w:t>
      </w:r>
      <w:r w:rsidRPr="004B0FCE">
        <w:rPr>
          <w:rFonts w:ascii="Calibri" w:hAnsi="Calibri"/>
          <w:sz w:val="22"/>
          <w:szCs w:val="22"/>
        </w:rPr>
        <w:t xml:space="preserve">billion, </w:t>
      </w:r>
      <w:r>
        <w:rPr>
          <w:rFonts w:ascii="Calibri" w:hAnsi="Calibri"/>
          <w:sz w:val="22"/>
          <w:szCs w:val="22"/>
        </w:rPr>
        <w:t xml:space="preserve">compared to net outflows of </w:t>
      </w:r>
      <w:r w:rsidRPr="004B0FCE">
        <w:rPr>
          <w:rFonts w:ascii="Calibri" w:hAnsi="Calibri"/>
          <w:sz w:val="22"/>
          <w:szCs w:val="22"/>
        </w:rPr>
        <w:t xml:space="preserve">EUR </w:t>
      </w:r>
      <w:r>
        <w:rPr>
          <w:rFonts w:ascii="Calibri" w:hAnsi="Calibri"/>
          <w:sz w:val="22"/>
          <w:szCs w:val="22"/>
        </w:rPr>
        <w:t xml:space="preserve">3 </w:t>
      </w:r>
      <w:r w:rsidRPr="004B0FCE">
        <w:rPr>
          <w:rFonts w:ascii="Calibri" w:hAnsi="Calibri"/>
          <w:sz w:val="22"/>
          <w:szCs w:val="22"/>
        </w:rPr>
        <w:t xml:space="preserve">billion in the </w:t>
      </w:r>
      <w:r>
        <w:rPr>
          <w:rFonts w:ascii="Calibri" w:hAnsi="Calibri"/>
          <w:sz w:val="22"/>
          <w:szCs w:val="22"/>
        </w:rPr>
        <w:t xml:space="preserve">third </w:t>
      </w:r>
      <w:r w:rsidRPr="004B0FCE">
        <w:rPr>
          <w:rFonts w:ascii="Calibri" w:hAnsi="Calibri"/>
          <w:sz w:val="22"/>
          <w:szCs w:val="22"/>
        </w:rPr>
        <w:t>quarter of 201</w:t>
      </w:r>
      <w:r>
        <w:rPr>
          <w:rFonts w:ascii="Calibri" w:hAnsi="Calibri"/>
          <w:sz w:val="22"/>
          <w:szCs w:val="22"/>
        </w:rPr>
        <w:t>9</w:t>
      </w:r>
      <w:r w:rsidRPr="004B0FCE">
        <w:rPr>
          <w:rFonts w:ascii="Calibri" w:hAnsi="Calibri"/>
          <w:sz w:val="22"/>
          <w:szCs w:val="22"/>
        </w:rPr>
        <w:t xml:space="preserve">. </w:t>
      </w:r>
      <w:r>
        <w:rPr>
          <w:rFonts w:ascii="Calibri" w:hAnsi="Calibri"/>
          <w:sz w:val="22"/>
          <w:szCs w:val="22"/>
        </w:rPr>
        <w:t>Net sales of m</w:t>
      </w:r>
      <w:r w:rsidRPr="004B0FCE">
        <w:rPr>
          <w:rFonts w:ascii="Calibri" w:hAnsi="Calibri"/>
          <w:sz w:val="22"/>
          <w:szCs w:val="22"/>
        </w:rPr>
        <w:t xml:space="preserve">oney market funds </w:t>
      </w:r>
      <w:r>
        <w:rPr>
          <w:rFonts w:ascii="Calibri" w:hAnsi="Calibri"/>
          <w:sz w:val="22"/>
          <w:szCs w:val="22"/>
        </w:rPr>
        <w:t>amounted to</w:t>
      </w:r>
      <w:r w:rsidRPr="004B0FCE">
        <w:rPr>
          <w:rFonts w:ascii="Calibri" w:hAnsi="Calibri"/>
          <w:sz w:val="22"/>
          <w:szCs w:val="22"/>
        </w:rPr>
        <w:t xml:space="preserve"> EUR </w:t>
      </w:r>
      <w:r>
        <w:rPr>
          <w:rFonts w:ascii="Calibri" w:hAnsi="Calibri"/>
          <w:sz w:val="22"/>
          <w:szCs w:val="22"/>
        </w:rPr>
        <w:t>171</w:t>
      </w:r>
      <w:r w:rsidRPr="004B0FCE">
        <w:rPr>
          <w:rFonts w:ascii="Calibri" w:hAnsi="Calibri"/>
          <w:sz w:val="22"/>
          <w:szCs w:val="22"/>
        </w:rPr>
        <w:t xml:space="preserve"> billion, </w:t>
      </w:r>
      <w:r>
        <w:rPr>
          <w:rFonts w:ascii="Calibri" w:hAnsi="Calibri"/>
          <w:sz w:val="22"/>
          <w:szCs w:val="22"/>
        </w:rPr>
        <w:t xml:space="preserve">compared to </w:t>
      </w:r>
      <w:r w:rsidRPr="004B0FCE">
        <w:rPr>
          <w:rFonts w:ascii="Calibri" w:hAnsi="Calibri"/>
          <w:sz w:val="22"/>
          <w:szCs w:val="22"/>
        </w:rPr>
        <w:t xml:space="preserve">EUR </w:t>
      </w:r>
      <w:r>
        <w:rPr>
          <w:rFonts w:ascii="Calibri" w:hAnsi="Calibri"/>
          <w:sz w:val="22"/>
          <w:szCs w:val="22"/>
        </w:rPr>
        <w:t xml:space="preserve">213 </w:t>
      </w:r>
      <w:r w:rsidRPr="004B0FCE">
        <w:rPr>
          <w:rFonts w:ascii="Calibri" w:hAnsi="Calibri"/>
          <w:sz w:val="22"/>
          <w:szCs w:val="22"/>
        </w:rPr>
        <w:t xml:space="preserve">billion </w:t>
      </w:r>
      <w:r>
        <w:rPr>
          <w:rFonts w:ascii="Calibri" w:hAnsi="Calibri"/>
          <w:sz w:val="22"/>
          <w:szCs w:val="22"/>
        </w:rPr>
        <w:t>in the previous quarter.</w:t>
      </w:r>
    </w:p>
    <w:p w14:paraId="76D7717C" w14:textId="3CBD701C" w:rsidR="001B55C7" w:rsidRPr="00FF6663" w:rsidRDefault="001B55C7" w:rsidP="00A91964">
      <w:pPr>
        <w:pStyle w:val="BodyTextIndent"/>
        <w:spacing w:after="0" w:line="300" w:lineRule="exact"/>
        <w:ind w:left="0"/>
        <w:jc w:val="both"/>
        <w:rPr>
          <w:rFonts w:ascii="Calibri" w:hAnsi="Calibri"/>
        </w:rPr>
      </w:pPr>
    </w:p>
    <w:p w14:paraId="4229A878" w14:textId="6526A9C9" w:rsidR="001B55C7" w:rsidRPr="00FF6663" w:rsidRDefault="001B55C7" w:rsidP="00A91964">
      <w:pPr>
        <w:pStyle w:val="BodyTextIndent"/>
        <w:spacing w:after="0" w:line="300" w:lineRule="exact"/>
        <w:ind w:left="0"/>
        <w:jc w:val="both"/>
        <w:rPr>
          <w:rFonts w:ascii="Calibri" w:hAnsi="Calibri"/>
        </w:rPr>
      </w:pPr>
    </w:p>
    <w:p w14:paraId="51179A7D" w14:textId="4C11FEAE" w:rsidR="001F5C74" w:rsidRDefault="001F5C74" w:rsidP="001F5C74">
      <w:pPr>
        <w:jc w:val="center"/>
        <w:rPr>
          <w:rFonts w:ascii="Calibri" w:hAnsi="Calibri"/>
          <w:b/>
          <w:color w:val="002060"/>
        </w:rPr>
      </w:pPr>
      <w:r w:rsidRPr="00AC61C9">
        <w:rPr>
          <w:rFonts w:ascii="Calibri" w:hAnsi="Calibri"/>
          <w:b/>
          <w:color w:val="002060"/>
        </w:rPr>
        <w:t>Regional Summary Table by Type of Fund, Q</w:t>
      </w:r>
      <w:r w:rsidR="00767A28">
        <w:rPr>
          <w:rFonts w:ascii="Calibri" w:hAnsi="Calibri"/>
          <w:b/>
          <w:color w:val="002060"/>
        </w:rPr>
        <w:t>4</w:t>
      </w:r>
      <w:r w:rsidRPr="00AC61C9">
        <w:rPr>
          <w:rFonts w:ascii="Calibri" w:hAnsi="Calibri"/>
          <w:b/>
          <w:color w:val="002060"/>
        </w:rPr>
        <w:t xml:space="preserve"> 201</w:t>
      </w:r>
      <w:r>
        <w:rPr>
          <w:rFonts w:ascii="Calibri" w:hAnsi="Calibri"/>
          <w:b/>
          <w:color w:val="002060"/>
        </w:rPr>
        <w:t>9</w:t>
      </w:r>
    </w:p>
    <w:p w14:paraId="13E845CB" w14:textId="300CF13A" w:rsidR="00005993" w:rsidRDefault="000E098D" w:rsidP="001F5C74">
      <w:pPr>
        <w:pStyle w:val="BodyTextIndent"/>
        <w:spacing w:after="0" w:line="300" w:lineRule="exact"/>
        <w:ind w:left="0"/>
      </w:pPr>
      <w:bookmarkStart w:id="1" w:name="_GoBack"/>
      <w:r w:rsidRPr="000E098D">
        <w:drawing>
          <wp:anchor distT="0" distB="0" distL="114300" distR="114300" simplePos="0" relativeHeight="251751936" behindDoc="0" locked="0" layoutInCell="1" allowOverlap="1" wp14:anchorId="668EC8C2" wp14:editId="67D7440B">
            <wp:simplePos x="0" y="0"/>
            <wp:positionH relativeFrom="column">
              <wp:posOffset>-1092</wp:posOffset>
            </wp:positionH>
            <wp:positionV relativeFrom="paragraph">
              <wp:posOffset>118745</wp:posOffset>
            </wp:positionV>
            <wp:extent cx="6603856" cy="40968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3856" cy="40968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50CA3B76" w14:textId="2D4A1E6C" w:rsidR="00E7422E" w:rsidRPr="00005993" w:rsidRDefault="00E7422E" w:rsidP="00005993">
      <w:pPr>
        <w:pStyle w:val="BodyTextIndent"/>
        <w:spacing w:after="0" w:line="300" w:lineRule="exact"/>
        <w:ind w:left="0"/>
        <w:jc w:val="center"/>
      </w:pPr>
    </w:p>
    <w:bookmarkEnd w:id="0"/>
    <w:p w14:paraId="7957F8FA" w14:textId="288ACDAF" w:rsidR="00A91964" w:rsidRDefault="00A91964" w:rsidP="00A91964">
      <w:pPr>
        <w:pStyle w:val="BodyTextIndent"/>
        <w:spacing w:after="0" w:line="300" w:lineRule="exact"/>
        <w:ind w:left="0"/>
        <w:jc w:val="both"/>
      </w:pPr>
    </w:p>
    <w:p w14:paraId="3EF78A3A" w14:textId="0831CE55" w:rsidR="00A91964" w:rsidRDefault="00A91964" w:rsidP="00A91964">
      <w:pPr>
        <w:pStyle w:val="BodyTextIndent"/>
        <w:spacing w:after="0" w:line="300" w:lineRule="exact"/>
        <w:ind w:left="0"/>
        <w:jc w:val="both"/>
      </w:pPr>
    </w:p>
    <w:p w14:paraId="397EB334" w14:textId="14C60C95" w:rsidR="00A91964" w:rsidRDefault="00A91964" w:rsidP="00A91964">
      <w:pPr>
        <w:pStyle w:val="BodyTextIndent"/>
        <w:spacing w:after="0" w:line="300" w:lineRule="exact"/>
        <w:ind w:left="0"/>
        <w:jc w:val="both"/>
      </w:pPr>
    </w:p>
    <w:p w14:paraId="4CADAD74" w14:textId="286334BE" w:rsidR="00A91964" w:rsidRDefault="00A91964" w:rsidP="00A91964">
      <w:pPr>
        <w:pStyle w:val="BodyTextIndent"/>
        <w:spacing w:after="0" w:line="300" w:lineRule="exact"/>
        <w:ind w:left="0"/>
        <w:jc w:val="both"/>
      </w:pPr>
    </w:p>
    <w:p w14:paraId="3DE413A2" w14:textId="207B6343" w:rsidR="00A91964" w:rsidRDefault="00A91964" w:rsidP="00A91964">
      <w:pPr>
        <w:pStyle w:val="BodyTextIndent"/>
        <w:spacing w:after="0" w:line="300" w:lineRule="exact"/>
        <w:ind w:left="0"/>
        <w:jc w:val="both"/>
      </w:pPr>
    </w:p>
    <w:p w14:paraId="71D1F52E" w14:textId="2472BBBB" w:rsidR="00D57FDE" w:rsidRDefault="00D57FDE" w:rsidP="00A91964">
      <w:pPr>
        <w:pStyle w:val="BodyTextIndent"/>
        <w:spacing w:after="0" w:line="300" w:lineRule="exact"/>
        <w:ind w:left="0"/>
        <w:jc w:val="both"/>
      </w:pPr>
    </w:p>
    <w:p w14:paraId="1EB7E2EB" w14:textId="170DA0E0" w:rsidR="00D57FDE" w:rsidRDefault="00D57FDE" w:rsidP="00A91964">
      <w:pPr>
        <w:pStyle w:val="BodyTextIndent"/>
        <w:spacing w:after="0" w:line="300" w:lineRule="exact"/>
        <w:ind w:left="0"/>
        <w:jc w:val="both"/>
      </w:pPr>
    </w:p>
    <w:p w14:paraId="0F8918EE" w14:textId="0173E2DC" w:rsidR="00D57FDE" w:rsidRDefault="00D57FDE" w:rsidP="00A91964">
      <w:pPr>
        <w:pStyle w:val="BodyTextIndent"/>
        <w:spacing w:after="0" w:line="300" w:lineRule="exact"/>
        <w:ind w:left="0"/>
        <w:jc w:val="both"/>
      </w:pPr>
    </w:p>
    <w:p w14:paraId="198E27D9" w14:textId="0FBB25E4" w:rsidR="00D57FDE" w:rsidRDefault="00D57FDE" w:rsidP="00A91964">
      <w:pPr>
        <w:pStyle w:val="BodyTextIndent"/>
        <w:spacing w:after="0" w:line="300" w:lineRule="exact"/>
        <w:ind w:left="0"/>
        <w:jc w:val="both"/>
      </w:pPr>
    </w:p>
    <w:p w14:paraId="7D9B6AF2" w14:textId="53BB2841" w:rsidR="00D57FDE" w:rsidRDefault="00D57FDE" w:rsidP="00A91964">
      <w:pPr>
        <w:pStyle w:val="BodyTextIndent"/>
        <w:spacing w:after="0" w:line="300" w:lineRule="exact"/>
        <w:ind w:left="0"/>
        <w:jc w:val="both"/>
      </w:pPr>
    </w:p>
    <w:p w14:paraId="4E62D22E" w14:textId="6D5826F0" w:rsidR="00D57FDE" w:rsidRDefault="00D57FDE" w:rsidP="00A91964">
      <w:pPr>
        <w:pStyle w:val="BodyTextIndent"/>
        <w:spacing w:after="0" w:line="300" w:lineRule="exact"/>
        <w:ind w:left="0"/>
        <w:jc w:val="both"/>
      </w:pPr>
    </w:p>
    <w:p w14:paraId="402609C0" w14:textId="6112DDC1" w:rsidR="00D57FDE" w:rsidRDefault="00D57FDE" w:rsidP="00A91964">
      <w:pPr>
        <w:pStyle w:val="BodyTextIndent"/>
        <w:spacing w:after="0" w:line="300" w:lineRule="exact"/>
        <w:ind w:left="0"/>
        <w:jc w:val="both"/>
      </w:pPr>
    </w:p>
    <w:p w14:paraId="0E50D8D4" w14:textId="15B063C5" w:rsidR="00D57FDE" w:rsidRDefault="00D57FDE" w:rsidP="00A91964">
      <w:pPr>
        <w:pStyle w:val="BodyTextIndent"/>
        <w:spacing w:after="0" w:line="300" w:lineRule="exact"/>
        <w:ind w:left="0"/>
        <w:jc w:val="both"/>
      </w:pPr>
    </w:p>
    <w:p w14:paraId="4E9AFAD5" w14:textId="5B6EE534" w:rsidR="00D57FDE" w:rsidRDefault="00D57FDE" w:rsidP="00A91964">
      <w:pPr>
        <w:pStyle w:val="BodyTextIndent"/>
        <w:spacing w:after="0" w:line="300" w:lineRule="exact"/>
        <w:ind w:left="0"/>
        <w:jc w:val="both"/>
      </w:pPr>
    </w:p>
    <w:p w14:paraId="2A95919A" w14:textId="7BC95F48" w:rsidR="00D57FDE" w:rsidRDefault="00D57FDE" w:rsidP="00A91964">
      <w:pPr>
        <w:pStyle w:val="BodyTextIndent"/>
        <w:spacing w:after="0" w:line="300" w:lineRule="exact"/>
        <w:ind w:left="0"/>
        <w:jc w:val="both"/>
      </w:pPr>
    </w:p>
    <w:p w14:paraId="46FF7AB7" w14:textId="35412CA7" w:rsidR="00D57FDE" w:rsidRDefault="00D57FDE" w:rsidP="00A91964">
      <w:pPr>
        <w:pStyle w:val="BodyTextIndent"/>
        <w:spacing w:after="0" w:line="300" w:lineRule="exact"/>
        <w:ind w:left="0"/>
        <w:jc w:val="both"/>
      </w:pPr>
    </w:p>
    <w:p w14:paraId="52139A0B" w14:textId="77777777" w:rsidR="00D57FDE" w:rsidRDefault="00D57FDE" w:rsidP="00A91964">
      <w:pPr>
        <w:pStyle w:val="BodyTextIndent"/>
        <w:spacing w:after="0" w:line="300" w:lineRule="exact"/>
        <w:ind w:left="0"/>
        <w:jc w:val="both"/>
      </w:pPr>
    </w:p>
    <w:p w14:paraId="5509707C" w14:textId="77777777" w:rsidR="00D57FDE" w:rsidRDefault="00D57FDE" w:rsidP="00A91964">
      <w:pPr>
        <w:pStyle w:val="BodyTextIndent"/>
        <w:spacing w:after="0" w:line="300" w:lineRule="exact"/>
        <w:ind w:left="0"/>
        <w:jc w:val="both"/>
      </w:pPr>
    </w:p>
    <w:p w14:paraId="662D32BD" w14:textId="3F0FDCC4" w:rsidR="00D57FDE" w:rsidRDefault="00D57FDE" w:rsidP="00A91964">
      <w:pPr>
        <w:pStyle w:val="BodyTextIndent"/>
        <w:spacing w:after="0" w:line="300" w:lineRule="exact"/>
        <w:ind w:left="0"/>
        <w:jc w:val="both"/>
      </w:pPr>
    </w:p>
    <w:p w14:paraId="6F0079DD" w14:textId="294AA3C6" w:rsidR="00D57FDE" w:rsidRDefault="00D57FDE" w:rsidP="00A91964">
      <w:pPr>
        <w:pStyle w:val="BodyTextIndent"/>
        <w:spacing w:after="0" w:line="300" w:lineRule="exact"/>
        <w:ind w:left="0"/>
        <w:jc w:val="both"/>
      </w:pPr>
    </w:p>
    <w:p w14:paraId="00500122" w14:textId="77777777" w:rsidR="00D57FDE" w:rsidRDefault="00D57FDE" w:rsidP="00A91964">
      <w:pPr>
        <w:pStyle w:val="BodyTextIndent"/>
        <w:spacing w:after="0" w:line="300" w:lineRule="exact"/>
        <w:ind w:left="0"/>
        <w:jc w:val="both"/>
      </w:pPr>
    </w:p>
    <w:p w14:paraId="184833EB" w14:textId="77777777" w:rsidR="00D57FDE" w:rsidRDefault="00D57FDE" w:rsidP="00A91964">
      <w:pPr>
        <w:pStyle w:val="BodyTextIndent"/>
        <w:spacing w:after="0" w:line="300" w:lineRule="exact"/>
        <w:ind w:left="0"/>
        <w:jc w:val="both"/>
      </w:pPr>
    </w:p>
    <w:p w14:paraId="24FC8B8D" w14:textId="77777777" w:rsidR="00D57FDE" w:rsidRDefault="00D57FDE" w:rsidP="00A91964">
      <w:pPr>
        <w:pStyle w:val="BodyTextIndent"/>
        <w:spacing w:after="0" w:line="300" w:lineRule="exact"/>
        <w:ind w:left="0"/>
        <w:jc w:val="both"/>
      </w:pPr>
    </w:p>
    <w:p w14:paraId="279C2505" w14:textId="2C44F8C0" w:rsidR="00B46662" w:rsidRDefault="00B46662" w:rsidP="00B46662"/>
    <w:p w14:paraId="6D079F9C" w14:textId="5F0FEC8F" w:rsidR="00B46662" w:rsidRPr="00B46662" w:rsidRDefault="00B46662" w:rsidP="00B46662">
      <w:pPr>
        <w:tabs>
          <w:tab w:val="left" w:pos="4230"/>
        </w:tabs>
      </w:pPr>
    </w:p>
    <w:sectPr w:rsidR="00B46662" w:rsidRPr="00B46662">
      <w:headerReference w:type="even" r:id="rId21"/>
      <w:headerReference w:type="default" r:id="rId22"/>
      <w:footerReference w:type="default" r:id="rId23"/>
      <w:headerReference w:type="first" r:id="rId24"/>
      <w:pgSz w:w="12240" w:h="15840" w:code="1"/>
      <w:pgMar w:top="1079" w:right="1077" w:bottom="719"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B7B80" w14:textId="77777777" w:rsidR="00863044" w:rsidRDefault="00863044">
      <w:r>
        <w:separator/>
      </w:r>
    </w:p>
  </w:endnote>
  <w:endnote w:type="continuationSeparator" w:id="0">
    <w:p w14:paraId="4069BBF8" w14:textId="77777777" w:rsidR="00863044" w:rsidRDefault="0086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45D1" w14:textId="77777777" w:rsidR="002B2040" w:rsidRDefault="002B2040">
    <w:pPr>
      <w:pStyle w:val="Footer"/>
      <w:jc w:val="right"/>
    </w:pPr>
    <w:r>
      <w:rPr>
        <w:rStyle w:val="PageNumber"/>
      </w:rPr>
      <w:fldChar w:fldCharType="begin"/>
    </w:r>
    <w:r>
      <w:rPr>
        <w:rStyle w:val="PageNumber"/>
      </w:rPr>
      <w:instrText xml:space="preserve"> PAGE </w:instrText>
    </w:r>
    <w:r>
      <w:rPr>
        <w:rStyle w:val="PageNumber"/>
      </w:rPr>
      <w:fldChar w:fldCharType="separate"/>
    </w:r>
    <w:r w:rsidR="00E35DCD">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8756D" w14:textId="77777777" w:rsidR="00863044" w:rsidRDefault="00863044">
      <w:r>
        <w:separator/>
      </w:r>
    </w:p>
  </w:footnote>
  <w:footnote w:type="continuationSeparator" w:id="0">
    <w:p w14:paraId="692DAA6E" w14:textId="77777777" w:rsidR="00863044" w:rsidRDefault="00863044">
      <w:r>
        <w:continuationSeparator/>
      </w:r>
    </w:p>
  </w:footnote>
  <w:footnote w:id="1">
    <w:p w14:paraId="68CCA092" w14:textId="77777777" w:rsidR="008F00B1" w:rsidRPr="00F52EA1" w:rsidRDefault="008F00B1">
      <w:pPr>
        <w:pStyle w:val="FootnoteText"/>
        <w:rPr>
          <w:rFonts w:ascii="Calibri" w:hAnsi="Calibri"/>
        </w:rPr>
      </w:pPr>
      <w:r w:rsidRPr="00F52EA1">
        <w:rPr>
          <w:rStyle w:val="FootnoteReference"/>
          <w:rFonts w:ascii="Calibri" w:hAnsi="Calibri"/>
          <w:sz w:val="18"/>
        </w:rPr>
        <w:footnoteRef/>
      </w:r>
      <w:r w:rsidRPr="00F52EA1">
        <w:rPr>
          <w:rFonts w:ascii="Calibri" w:hAnsi="Calibri"/>
          <w:sz w:val="18"/>
        </w:rPr>
        <w:t xml:space="preserve"> All data presented in this report include funds of funds, exchange-traded funds and institutional funds.</w:t>
      </w:r>
    </w:p>
  </w:footnote>
  <w:footnote w:id="2">
    <w:p w14:paraId="0FF3FE4B" w14:textId="77777777" w:rsidR="00F2133F" w:rsidRPr="00E371B0" w:rsidRDefault="00F2133F" w:rsidP="00F2133F">
      <w:pPr>
        <w:pStyle w:val="FootnoteText"/>
        <w:jc w:val="both"/>
        <w:rPr>
          <w:rFonts w:asciiTheme="minorHAnsi" w:hAnsiTheme="minorHAnsi"/>
          <w:sz w:val="18"/>
          <w:szCs w:val="18"/>
        </w:rPr>
      </w:pPr>
      <w:r w:rsidRPr="00E371B0">
        <w:rPr>
          <w:rFonts w:ascii="Calibri" w:hAnsi="Calibri"/>
          <w:sz w:val="18"/>
          <w:vertAlign w:val="superscript"/>
        </w:rPr>
        <w:footnoteRef/>
      </w:r>
      <w:r w:rsidRPr="00E371B0">
        <w:rPr>
          <w:rFonts w:ascii="Calibri" w:hAnsi="Calibri"/>
          <w:sz w:val="18"/>
          <w:vertAlign w:val="superscript"/>
        </w:rPr>
        <w:t xml:space="preserve"> </w:t>
      </w:r>
      <w:r w:rsidRPr="00E371B0">
        <w:rPr>
          <w:rFonts w:asciiTheme="minorHAnsi" w:hAnsiTheme="minorHAnsi"/>
          <w:sz w:val="18"/>
          <w:szCs w:val="18"/>
        </w:rPr>
        <w:t xml:space="preserve">Other advanced economies are countries thus defined by the International Monetary Fund, </w:t>
      </w:r>
      <w:r w:rsidRPr="001813AC">
        <w:rPr>
          <w:rFonts w:asciiTheme="minorHAnsi" w:hAnsiTheme="minorHAnsi"/>
          <w:sz w:val="18"/>
          <w:szCs w:val="18"/>
        </w:rPr>
        <w:t>based on criteria such as per capita income level and the degree of integration into the global financial system</w:t>
      </w:r>
      <w:r>
        <w:rPr>
          <w:rFonts w:asciiTheme="minorHAnsi" w:hAnsiTheme="minorHAnsi"/>
          <w:sz w:val="18"/>
          <w:szCs w:val="18"/>
        </w:rPr>
        <w:t>,</w:t>
      </w:r>
      <w:r w:rsidRPr="001813AC">
        <w:rPr>
          <w:rFonts w:asciiTheme="minorHAnsi" w:hAnsiTheme="minorHAnsi"/>
          <w:sz w:val="18"/>
          <w:szCs w:val="18"/>
        </w:rPr>
        <w:t xml:space="preserve"> </w:t>
      </w:r>
      <w:r w:rsidRPr="00E371B0">
        <w:rPr>
          <w:rFonts w:asciiTheme="minorHAnsi" w:hAnsiTheme="minorHAnsi"/>
          <w:sz w:val="18"/>
          <w:szCs w:val="18"/>
        </w:rPr>
        <w:t xml:space="preserve">excluding the US and the countries included in the Europe aggregate. Data is not available for all </w:t>
      </w:r>
      <w:r>
        <w:rPr>
          <w:rFonts w:asciiTheme="minorHAnsi" w:hAnsiTheme="minorHAnsi"/>
          <w:sz w:val="18"/>
          <w:szCs w:val="18"/>
        </w:rPr>
        <w:t>advanced economies</w:t>
      </w:r>
      <w:r w:rsidRPr="00E371B0">
        <w:rPr>
          <w:rFonts w:asciiTheme="minorHAnsi" w:hAnsiTheme="minorHAnsi"/>
          <w:sz w:val="18"/>
          <w:szCs w:val="18"/>
        </w:rPr>
        <w:t xml:space="preserve">. Other advanced economies include Australia, Canada, Japan, Korea, New Zealand and </w:t>
      </w:r>
      <w:r>
        <w:rPr>
          <w:rFonts w:asciiTheme="minorHAnsi" w:hAnsiTheme="minorHAnsi"/>
          <w:sz w:val="18"/>
          <w:szCs w:val="18"/>
        </w:rPr>
        <w:t>Chinese Taipei (Taiwan)</w:t>
      </w:r>
      <w:r w:rsidRPr="00E371B0">
        <w:rPr>
          <w:rFonts w:asciiTheme="minorHAnsi" w:hAnsiTheme="minorHAnsi"/>
          <w:sz w:val="18"/>
          <w:szCs w:val="18"/>
        </w:rPr>
        <w:t>.</w:t>
      </w:r>
    </w:p>
  </w:footnote>
  <w:footnote w:id="3">
    <w:p w14:paraId="1E6F40C4" w14:textId="77777777" w:rsidR="00F2133F" w:rsidRDefault="00F2133F" w:rsidP="00F2133F">
      <w:pPr>
        <w:pStyle w:val="FootnoteText"/>
        <w:jc w:val="both"/>
        <w:rPr>
          <w:rFonts w:ascii="Calibri" w:hAnsi="Calibri"/>
          <w:sz w:val="18"/>
        </w:rPr>
      </w:pPr>
      <w:r w:rsidRPr="00E371B0">
        <w:rPr>
          <w:rFonts w:ascii="Calibri" w:hAnsi="Calibri"/>
          <w:sz w:val="18"/>
          <w:vertAlign w:val="superscript"/>
        </w:rPr>
        <w:footnoteRef/>
      </w:r>
      <w:r w:rsidRPr="00E371B0">
        <w:rPr>
          <w:rFonts w:ascii="Calibri" w:hAnsi="Calibri"/>
          <w:sz w:val="18"/>
          <w:vertAlign w:val="superscript"/>
        </w:rPr>
        <w:t xml:space="preserve"> </w:t>
      </w:r>
      <w:r w:rsidRPr="00E371B0">
        <w:rPr>
          <w:rFonts w:ascii="Calibri" w:hAnsi="Calibri"/>
          <w:sz w:val="18"/>
        </w:rPr>
        <w:t xml:space="preserve">Emerging markets are countries thus defined by the International Monetary Fund. Data is not available for all </w:t>
      </w:r>
      <w:r>
        <w:rPr>
          <w:rFonts w:ascii="Calibri" w:hAnsi="Calibri"/>
          <w:sz w:val="18"/>
        </w:rPr>
        <w:t>e</w:t>
      </w:r>
      <w:r w:rsidRPr="00E371B0">
        <w:rPr>
          <w:rFonts w:ascii="Calibri" w:hAnsi="Calibri"/>
          <w:sz w:val="18"/>
        </w:rPr>
        <w:t xml:space="preserve">merging </w:t>
      </w:r>
      <w:r>
        <w:rPr>
          <w:rFonts w:ascii="Calibri" w:hAnsi="Calibri"/>
          <w:sz w:val="18"/>
        </w:rPr>
        <w:t>m</w:t>
      </w:r>
      <w:r w:rsidRPr="00E371B0">
        <w:rPr>
          <w:rFonts w:ascii="Calibri" w:hAnsi="Calibri"/>
          <w:sz w:val="18"/>
        </w:rPr>
        <w:t xml:space="preserve">arkets. The following countries are included: Argentina, Brazil, Chile, China, Costa Rica, India, Mexico, Pakistan, </w:t>
      </w:r>
      <w:r>
        <w:rPr>
          <w:rFonts w:ascii="Calibri" w:hAnsi="Calibri"/>
          <w:sz w:val="18"/>
        </w:rPr>
        <w:t xml:space="preserve">the </w:t>
      </w:r>
      <w:r w:rsidRPr="00E371B0">
        <w:rPr>
          <w:rFonts w:ascii="Calibri" w:hAnsi="Calibri"/>
          <w:sz w:val="18"/>
        </w:rPr>
        <w:t>Philippines, South Africa and Trinidad &amp; Tobago.</w:t>
      </w:r>
    </w:p>
    <w:p w14:paraId="2D14578D" w14:textId="77777777" w:rsidR="00F2133F" w:rsidRPr="00E371B0" w:rsidRDefault="00F2133F" w:rsidP="00F2133F">
      <w:pPr>
        <w:pStyle w:val="FootnoteText"/>
        <w:jc w:val="both"/>
        <w:rPr>
          <w:rFonts w:ascii="Calibri" w:hAnsi="Calibri"/>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1B8F" w14:textId="77777777" w:rsidR="002B2040" w:rsidRDefault="002B20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373">
      <w:rPr>
        <w:rStyle w:val="PageNumber"/>
        <w:noProof/>
      </w:rPr>
      <w:t>7</w:t>
    </w:r>
    <w:r>
      <w:rPr>
        <w:rStyle w:val="PageNumber"/>
      </w:rPr>
      <w:fldChar w:fldCharType="end"/>
    </w:r>
  </w:p>
  <w:p w14:paraId="2282ED35" w14:textId="77777777" w:rsidR="002B2040" w:rsidRDefault="002B20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0229" w14:textId="50CBFDE4" w:rsidR="002B2040" w:rsidRPr="00FC7F6F" w:rsidRDefault="002B2040" w:rsidP="00FC7F6F">
    <w:pPr>
      <w:pStyle w:val="Header"/>
      <w:pBdr>
        <w:bottom w:val="single" w:sz="4" w:space="1" w:color="3366FF"/>
      </w:pBdr>
      <w:jc w:val="right"/>
      <w:rPr>
        <w:rFonts w:ascii="Arial" w:hAnsi="Arial"/>
        <w:b/>
        <w:bCs/>
        <w:i/>
        <w:iCs/>
        <w:color w:val="0000FF"/>
        <w:sz w:val="20"/>
      </w:rPr>
    </w:pPr>
    <w:r>
      <w:rPr>
        <w:rFonts w:ascii="Arial" w:hAnsi="Arial"/>
        <w:b/>
        <w:bCs/>
        <w:i/>
        <w:iCs/>
        <w:color w:val="0000FF"/>
        <w:sz w:val="20"/>
      </w:rPr>
      <w:t>EFAMA Internatio</w:t>
    </w:r>
    <w:r w:rsidR="00376E51">
      <w:rPr>
        <w:rFonts w:ascii="Arial" w:hAnsi="Arial"/>
        <w:b/>
        <w:bCs/>
        <w:i/>
        <w:iCs/>
        <w:color w:val="0000FF"/>
        <w:sz w:val="20"/>
      </w:rPr>
      <w:t>nal Statistical Release (201</w:t>
    </w:r>
    <w:r w:rsidR="00D20CA0">
      <w:rPr>
        <w:rFonts w:ascii="Arial" w:hAnsi="Arial"/>
        <w:b/>
        <w:bCs/>
        <w:i/>
        <w:iCs/>
        <w:color w:val="0000FF"/>
        <w:sz w:val="20"/>
      </w:rPr>
      <w:t>9</w:t>
    </w:r>
    <w:r w:rsidR="00376E51">
      <w:rPr>
        <w:rFonts w:ascii="Arial" w:hAnsi="Arial"/>
        <w:b/>
        <w:bCs/>
        <w:i/>
        <w:iCs/>
        <w:color w:val="0000FF"/>
        <w:sz w:val="20"/>
      </w:rPr>
      <w:t>:</w:t>
    </w:r>
    <w:r w:rsidR="00985C75">
      <w:rPr>
        <w:rFonts w:ascii="Arial" w:hAnsi="Arial"/>
        <w:b/>
        <w:bCs/>
        <w:i/>
        <w:iCs/>
        <w:color w:val="0000FF"/>
        <w:sz w:val="20"/>
      </w:rPr>
      <w:t>Q</w:t>
    </w:r>
    <w:r w:rsidR="00767A28">
      <w:rPr>
        <w:rFonts w:ascii="Arial" w:hAnsi="Arial"/>
        <w:b/>
        <w:bCs/>
        <w:i/>
        <w:iCs/>
        <w:color w:val="0000FF"/>
        <w:sz w:val="20"/>
      </w:rPr>
      <w:t>4</w:t>
    </w:r>
    <w:r>
      <w:rPr>
        <w:rFonts w:ascii="Arial" w:hAnsi="Arial"/>
        <w:b/>
        <w:bCs/>
        <w:i/>
        <w:iCs/>
        <w:color w:val="0000FF"/>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9CC41" w14:textId="75207B10" w:rsidR="002B2040" w:rsidRDefault="00F50054">
    <w:pPr>
      <w:pStyle w:val="Header"/>
      <w:ind w:right="360"/>
    </w:pPr>
    <w:r>
      <w:rPr>
        <w:noProof/>
      </w:rPr>
      <w:drawing>
        <wp:anchor distT="0" distB="0" distL="114300" distR="114300" simplePos="0" relativeHeight="251658752" behindDoc="0" locked="0" layoutInCell="1" allowOverlap="1" wp14:anchorId="7D7D11B0" wp14:editId="46171B9E">
          <wp:simplePos x="0" y="0"/>
          <wp:positionH relativeFrom="margin">
            <wp:posOffset>-71755</wp:posOffset>
          </wp:positionH>
          <wp:positionV relativeFrom="paragraph">
            <wp:posOffset>-182587</wp:posOffset>
          </wp:positionV>
          <wp:extent cx="1716258" cy="988641"/>
          <wp:effectExtent l="0" t="0" r="0" b="254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AMA_logotype-color_HighRes.jpg"/>
                  <pic:cNvPicPr/>
                </pic:nvPicPr>
                <pic:blipFill>
                  <a:blip r:embed="rId1">
                    <a:extLst>
                      <a:ext uri="{28A0092B-C50C-407E-A947-70E740481C1C}">
                        <a14:useLocalDpi xmlns:a14="http://schemas.microsoft.com/office/drawing/2010/main" val="0"/>
                      </a:ext>
                    </a:extLst>
                  </a:blip>
                  <a:stretch>
                    <a:fillRect/>
                  </a:stretch>
                </pic:blipFill>
                <pic:spPr>
                  <a:xfrm>
                    <a:off x="0" y="0"/>
                    <a:ext cx="1716258" cy="988641"/>
                  </a:xfrm>
                  <a:prstGeom prst="rect">
                    <a:avLst/>
                  </a:prstGeom>
                </pic:spPr>
              </pic:pic>
            </a:graphicData>
          </a:graphic>
          <wp14:sizeRelH relativeFrom="margin">
            <wp14:pctWidth>0</wp14:pctWidth>
          </wp14:sizeRelH>
          <wp14:sizeRelV relativeFrom="margin">
            <wp14:pctHeight>0</wp14:pctHeight>
          </wp14:sizeRelV>
        </wp:anchor>
      </w:drawing>
    </w:r>
    <w:r w:rsidR="00173ED1">
      <w:rPr>
        <w:noProof/>
        <w:lang w:val="en-US"/>
      </w:rPr>
      <mc:AlternateContent>
        <mc:Choice Requires="wps">
          <w:drawing>
            <wp:anchor distT="0" distB="0" distL="114300" distR="114300" simplePos="0" relativeHeight="251657728" behindDoc="0" locked="0" layoutInCell="1" allowOverlap="1" wp14:anchorId="2C521975" wp14:editId="1132B9DC">
              <wp:simplePos x="0" y="0"/>
              <wp:positionH relativeFrom="column">
                <wp:posOffset>3179445</wp:posOffset>
              </wp:positionH>
              <wp:positionV relativeFrom="paragraph">
                <wp:posOffset>283210</wp:posOffset>
              </wp:positionV>
              <wp:extent cx="3307715" cy="35433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9B322" w14:textId="77777777" w:rsidR="002B2040" w:rsidRPr="002B2040" w:rsidRDefault="002B2040">
                          <w:pPr>
                            <w:rPr>
                              <w:b/>
                              <w:i/>
                              <w:sz w:val="36"/>
                              <w:szCs w:val="36"/>
                            </w:rPr>
                          </w:pPr>
                          <w:r w:rsidRPr="002B2040">
                            <w:rPr>
                              <w:b/>
                              <w:i/>
                              <w:sz w:val="36"/>
                              <w:szCs w:val="36"/>
                            </w:rPr>
                            <w:t>International Statistical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521975" id="_x0000_t202" coordsize="21600,21600" o:spt="202" path="m,l,21600r21600,l21600,xe">
              <v:stroke joinstyle="miter"/>
              <v:path gradientshapeok="t" o:connecttype="rect"/>
            </v:shapetype>
            <v:shape id="Text Box 2" o:spid="_x0000_s1026" type="#_x0000_t202" style="position:absolute;margin-left:250.35pt;margin-top:22.3pt;width:260.45pt;height:27.9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" stroked="f">
              <v:textbox style="mso-fit-shape-to-text:t">
                <w:txbxContent>
                  <w:p w14:paraId="59E9B322" w14:textId="77777777" w:rsidR="002B2040" w:rsidRPr="002B2040" w:rsidRDefault="002B2040">
                    <w:pPr>
                      <w:rPr>
                        <w:b/>
                        <w:i/>
                        <w:sz w:val="36"/>
                        <w:szCs w:val="36"/>
                      </w:rPr>
                    </w:pPr>
                    <w:r w:rsidRPr="002B2040">
                      <w:rPr>
                        <w:b/>
                        <w:i/>
                        <w:sz w:val="36"/>
                        <w:szCs w:val="36"/>
                      </w:rPr>
                      <w:t>International Statistical Release</w:t>
                    </w:r>
                  </w:p>
                </w:txbxContent>
              </v:textbox>
            </v:shape>
          </w:pict>
        </mc:Fallback>
      </mc:AlternateContent>
    </w:r>
  </w:p>
  <w:p w14:paraId="7A1E1071" w14:textId="6E69B429" w:rsidR="00F50054" w:rsidRDefault="00F50054">
    <w:pPr>
      <w:pStyle w:val="Header"/>
      <w:ind w:right="360"/>
    </w:pPr>
  </w:p>
  <w:p w14:paraId="68318580" w14:textId="4EDB5C09" w:rsidR="00F50054" w:rsidRDefault="00F50054">
    <w:pPr>
      <w:pStyle w:val="Header"/>
      <w:ind w:right="360"/>
    </w:pPr>
  </w:p>
  <w:p w14:paraId="5066AB9F" w14:textId="0DD2D140" w:rsidR="00F50054" w:rsidRDefault="00F50054">
    <w:pPr>
      <w:pStyle w:val="Header"/>
      <w:ind w:right="360"/>
    </w:pPr>
  </w:p>
  <w:p w14:paraId="6BB23999" w14:textId="77777777" w:rsidR="00F50054" w:rsidRDefault="00F500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3E1F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95A56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72B0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AA72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8265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4215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04ED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4E7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AC16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F050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656746"/>
    <w:multiLevelType w:val="multilevel"/>
    <w:tmpl w:val="04090021"/>
    <w:lvl w:ilvl="0">
      <w:start w:val="1"/>
      <w:numFmt w:val="bullet"/>
      <w:lvlText w:val=""/>
      <w:lvlJc w:val="left"/>
      <w:pPr>
        <w:tabs>
          <w:tab w:val="num" w:pos="360"/>
        </w:tabs>
        <w:ind w:left="360" w:hanging="360"/>
      </w:pPr>
      <w:rPr>
        <w:rFonts w:ascii="Wingdings" w:hAnsi="Wingdings" w:cs="Times New Roman"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1" w15:restartNumberingAfterBreak="0">
    <w:nsid w:val="2F7D0B82"/>
    <w:multiLevelType w:val="hybridMultilevel"/>
    <w:tmpl w:val="4D3ED452"/>
    <w:lvl w:ilvl="0" w:tplc="ADBEBE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27DA3"/>
    <w:multiLevelType w:val="hybridMultilevel"/>
    <w:tmpl w:val="54E09E00"/>
    <w:lvl w:ilvl="0" w:tplc="48A69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1695E"/>
    <w:multiLevelType w:val="hybridMultilevel"/>
    <w:tmpl w:val="663C7EDA"/>
    <w:lvl w:ilvl="0" w:tplc="A55AE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01F6"/>
    <w:multiLevelType w:val="hybridMultilevel"/>
    <w:tmpl w:val="D6E6C54E"/>
    <w:lvl w:ilvl="0" w:tplc="FBD0E7C4">
      <w:start w:val="1"/>
      <w:numFmt w:val="decimal"/>
      <w:lvlText w:val="(%1)"/>
      <w:lvlJc w:val="left"/>
      <w:pPr>
        <w:ind w:left="2520" w:hanging="360"/>
      </w:pPr>
      <w:rPr>
        <w:rFonts w:hint="default"/>
      </w:rPr>
    </w:lvl>
    <w:lvl w:ilvl="1" w:tplc="08130019" w:tentative="1">
      <w:start w:val="1"/>
      <w:numFmt w:val="lowerLetter"/>
      <w:lvlText w:val="%2."/>
      <w:lvlJc w:val="left"/>
      <w:pPr>
        <w:ind w:left="3240" w:hanging="360"/>
      </w:pPr>
    </w:lvl>
    <w:lvl w:ilvl="2" w:tplc="0813001B" w:tentative="1">
      <w:start w:val="1"/>
      <w:numFmt w:val="lowerRoman"/>
      <w:lvlText w:val="%3."/>
      <w:lvlJc w:val="right"/>
      <w:pPr>
        <w:ind w:left="3960" w:hanging="180"/>
      </w:pPr>
    </w:lvl>
    <w:lvl w:ilvl="3" w:tplc="0813000F" w:tentative="1">
      <w:start w:val="1"/>
      <w:numFmt w:val="decimal"/>
      <w:lvlText w:val="%4."/>
      <w:lvlJc w:val="left"/>
      <w:pPr>
        <w:ind w:left="4680" w:hanging="360"/>
      </w:pPr>
    </w:lvl>
    <w:lvl w:ilvl="4" w:tplc="08130019" w:tentative="1">
      <w:start w:val="1"/>
      <w:numFmt w:val="lowerLetter"/>
      <w:lvlText w:val="%5."/>
      <w:lvlJc w:val="left"/>
      <w:pPr>
        <w:ind w:left="5400" w:hanging="360"/>
      </w:pPr>
    </w:lvl>
    <w:lvl w:ilvl="5" w:tplc="0813001B" w:tentative="1">
      <w:start w:val="1"/>
      <w:numFmt w:val="lowerRoman"/>
      <w:lvlText w:val="%6."/>
      <w:lvlJc w:val="right"/>
      <w:pPr>
        <w:ind w:left="6120" w:hanging="180"/>
      </w:pPr>
    </w:lvl>
    <w:lvl w:ilvl="6" w:tplc="0813000F" w:tentative="1">
      <w:start w:val="1"/>
      <w:numFmt w:val="decimal"/>
      <w:lvlText w:val="%7."/>
      <w:lvlJc w:val="left"/>
      <w:pPr>
        <w:ind w:left="6840" w:hanging="360"/>
      </w:pPr>
    </w:lvl>
    <w:lvl w:ilvl="7" w:tplc="08130019" w:tentative="1">
      <w:start w:val="1"/>
      <w:numFmt w:val="lowerLetter"/>
      <w:lvlText w:val="%8."/>
      <w:lvlJc w:val="left"/>
      <w:pPr>
        <w:ind w:left="7560" w:hanging="360"/>
      </w:pPr>
    </w:lvl>
    <w:lvl w:ilvl="8" w:tplc="0813001B" w:tentative="1">
      <w:start w:val="1"/>
      <w:numFmt w:val="lowerRoman"/>
      <w:lvlText w:val="%9."/>
      <w:lvlJc w:val="right"/>
      <w:pPr>
        <w:ind w:left="8280" w:hanging="180"/>
      </w:pPr>
    </w:lvl>
  </w:abstractNum>
  <w:abstractNum w:abstractNumId="15" w15:restartNumberingAfterBreak="0">
    <w:nsid w:val="4F0D6081"/>
    <w:multiLevelType w:val="hybridMultilevel"/>
    <w:tmpl w:val="F3F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0D7E"/>
    <w:multiLevelType w:val="hybridMultilevel"/>
    <w:tmpl w:val="4E8243D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75763F"/>
    <w:multiLevelType w:val="hybridMultilevel"/>
    <w:tmpl w:val="282EEF74"/>
    <w:lvl w:ilvl="0" w:tplc="48A69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602B59"/>
    <w:multiLevelType w:val="hybridMultilevel"/>
    <w:tmpl w:val="6FEE7D60"/>
    <w:lvl w:ilvl="0" w:tplc="2F485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7C627D1"/>
    <w:multiLevelType w:val="hybridMultilevel"/>
    <w:tmpl w:val="6546B4F2"/>
    <w:lvl w:ilvl="0" w:tplc="ADBEBE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0"/>
  </w:num>
  <w:num w:numId="15">
    <w:abstractNumId w:val="11"/>
  </w:num>
  <w:num w:numId="16">
    <w:abstractNumId w:val="19"/>
  </w:num>
  <w:num w:numId="17">
    <w:abstractNumId w:val="14"/>
  </w:num>
  <w:num w:numId="18">
    <w:abstractNumId w:val="13"/>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04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5D"/>
    <w:rsid w:val="00000132"/>
    <w:rsid w:val="00001F2D"/>
    <w:rsid w:val="00002AE0"/>
    <w:rsid w:val="00003EDC"/>
    <w:rsid w:val="00005993"/>
    <w:rsid w:val="00005ABC"/>
    <w:rsid w:val="00006983"/>
    <w:rsid w:val="00010FBF"/>
    <w:rsid w:val="00010FFF"/>
    <w:rsid w:val="00011800"/>
    <w:rsid w:val="00011A45"/>
    <w:rsid w:val="000129B2"/>
    <w:rsid w:val="000136C6"/>
    <w:rsid w:val="00013C0F"/>
    <w:rsid w:val="00014D8C"/>
    <w:rsid w:val="00017D79"/>
    <w:rsid w:val="0002144C"/>
    <w:rsid w:val="0002196F"/>
    <w:rsid w:val="00022888"/>
    <w:rsid w:val="0002456D"/>
    <w:rsid w:val="00025933"/>
    <w:rsid w:val="00025B51"/>
    <w:rsid w:val="00026DC7"/>
    <w:rsid w:val="00026FFA"/>
    <w:rsid w:val="00027472"/>
    <w:rsid w:val="000333D0"/>
    <w:rsid w:val="00033F4B"/>
    <w:rsid w:val="00034E90"/>
    <w:rsid w:val="000364F8"/>
    <w:rsid w:val="00037627"/>
    <w:rsid w:val="0004015F"/>
    <w:rsid w:val="00040DA4"/>
    <w:rsid w:val="0004277C"/>
    <w:rsid w:val="00045D15"/>
    <w:rsid w:val="00046A3A"/>
    <w:rsid w:val="00046E1A"/>
    <w:rsid w:val="000476AC"/>
    <w:rsid w:val="0005025E"/>
    <w:rsid w:val="000506DD"/>
    <w:rsid w:val="00053423"/>
    <w:rsid w:val="0005366D"/>
    <w:rsid w:val="000536BC"/>
    <w:rsid w:val="00056C97"/>
    <w:rsid w:val="00056E86"/>
    <w:rsid w:val="00060007"/>
    <w:rsid w:val="00061047"/>
    <w:rsid w:val="000625DC"/>
    <w:rsid w:val="00062E3E"/>
    <w:rsid w:val="00063381"/>
    <w:rsid w:val="00065FEE"/>
    <w:rsid w:val="00070083"/>
    <w:rsid w:val="00072F08"/>
    <w:rsid w:val="00073A1B"/>
    <w:rsid w:val="00074597"/>
    <w:rsid w:val="00074FFF"/>
    <w:rsid w:val="0007734D"/>
    <w:rsid w:val="000779B0"/>
    <w:rsid w:val="0008240A"/>
    <w:rsid w:val="00083490"/>
    <w:rsid w:val="000834CB"/>
    <w:rsid w:val="000834F6"/>
    <w:rsid w:val="00085025"/>
    <w:rsid w:val="000856ED"/>
    <w:rsid w:val="0008701B"/>
    <w:rsid w:val="0008748D"/>
    <w:rsid w:val="00087C9E"/>
    <w:rsid w:val="000912D3"/>
    <w:rsid w:val="00094B0E"/>
    <w:rsid w:val="00096240"/>
    <w:rsid w:val="00097278"/>
    <w:rsid w:val="0009748A"/>
    <w:rsid w:val="000A15E7"/>
    <w:rsid w:val="000A28EE"/>
    <w:rsid w:val="000A49F6"/>
    <w:rsid w:val="000A7405"/>
    <w:rsid w:val="000A7760"/>
    <w:rsid w:val="000B1B04"/>
    <w:rsid w:val="000B251E"/>
    <w:rsid w:val="000B2BF2"/>
    <w:rsid w:val="000B7819"/>
    <w:rsid w:val="000C076B"/>
    <w:rsid w:val="000C10D5"/>
    <w:rsid w:val="000C1137"/>
    <w:rsid w:val="000C1FE5"/>
    <w:rsid w:val="000C21B2"/>
    <w:rsid w:val="000C2717"/>
    <w:rsid w:val="000C35A8"/>
    <w:rsid w:val="000C4C09"/>
    <w:rsid w:val="000C50AD"/>
    <w:rsid w:val="000C6365"/>
    <w:rsid w:val="000C6F9A"/>
    <w:rsid w:val="000D103B"/>
    <w:rsid w:val="000D2CDE"/>
    <w:rsid w:val="000D3441"/>
    <w:rsid w:val="000D65A3"/>
    <w:rsid w:val="000D6D30"/>
    <w:rsid w:val="000D77C4"/>
    <w:rsid w:val="000E098D"/>
    <w:rsid w:val="000E1359"/>
    <w:rsid w:val="000E1496"/>
    <w:rsid w:val="000E2270"/>
    <w:rsid w:val="000E2D7F"/>
    <w:rsid w:val="000E38DB"/>
    <w:rsid w:val="000E6BC0"/>
    <w:rsid w:val="000E750F"/>
    <w:rsid w:val="000E759E"/>
    <w:rsid w:val="000F4A33"/>
    <w:rsid w:val="000F566E"/>
    <w:rsid w:val="000F6953"/>
    <w:rsid w:val="00100BBE"/>
    <w:rsid w:val="0010203C"/>
    <w:rsid w:val="00102804"/>
    <w:rsid w:val="001031B1"/>
    <w:rsid w:val="00105011"/>
    <w:rsid w:val="00106759"/>
    <w:rsid w:val="001102C8"/>
    <w:rsid w:val="00114364"/>
    <w:rsid w:val="00114679"/>
    <w:rsid w:val="00114C07"/>
    <w:rsid w:val="00114F64"/>
    <w:rsid w:val="00117DCE"/>
    <w:rsid w:val="0012009C"/>
    <w:rsid w:val="00122E5E"/>
    <w:rsid w:val="00123264"/>
    <w:rsid w:val="00124FF5"/>
    <w:rsid w:val="0012574A"/>
    <w:rsid w:val="00126D76"/>
    <w:rsid w:val="00127495"/>
    <w:rsid w:val="00130799"/>
    <w:rsid w:val="00130DAE"/>
    <w:rsid w:val="001326B4"/>
    <w:rsid w:val="00132A2C"/>
    <w:rsid w:val="00132F02"/>
    <w:rsid w:val="001332D6"/>
    <w:rsid w:val="001346B6"/>
    <w:rsid w:val="001347D9"/>
    <w:rsid w:val="00136C74"/>
    <w:rsid w:val="00136C9F"/>
    <w:rsid w:val="00137160"/>
    <w:rsid w:val="00137D9E"/>
    <w:rsid w:val="0014096E"/>
    <w:rsid w:val="00140F8B"/>
    <w:rsid w:val="00141D9B"/>
    <w:rsid w:val="00143751"/>
    <w:rsid w:val="00144020"/>
    <w:rsid w:val="001442C6"/>
    <w:rsid w:val="001462A2"/>
    <w:rsid w:val="001505CF"/>
    <w:rsid w:val="00150AC8"/>
    <w:rsid w:val="00150B11"/>
    <w:rsid w:val="001514D7"/>
    <w:rsid w:val="001517A6"/>
    <w:rsid w:val="00152691"/>
    <w:rsid w:val="0015295C"/>
    <w:rsid w:val="00153571"/>
    <w:rsid w:val="001537AA"/>
    <w:rsid w:val="0015525F"/>
    <w:rsid w:val="0015587D"/>
    <w:rsid w:val="001562DC"/>
    <w:rsid w:val="00157541"/>
    <w:rsid w:val="00157639"/>
    <w:rsid w:val="00157D64"/>
    <w:rsid w:val="00160E5B"/>
    <w:rsid w:val="00161FDF"/>
    <w:rsid w:val="00166D7A"/>
    <w:rsid w:val="00167CA0"/>
    <w:rsid w:val="001700CE"/>
    <w:rsid w:val="001703B8"/>
    <w:rsid w:val="001717A4"/>
    <w:rsid w:val="001735E2"/>
    <w:rsid w:val="00173ED1"/>
    <w:rsid w:val="00174626"/>
    <w:rsid w:val="001750B7"/>
    <w:rsid w:val="00176AEF"/>
    <w:rsid w:val="001772E7"/>
    <w:rsid w:val="00180C51"/>
    <w:rsid w:val="00181213"/>
    <w:rsid w:val="001813AC"/>
    <w:rsid w:val="00182492"/>
    <w:rsid w:val="00182856"/>
    <w:rsid w:val="00182F15"/>
    <w:rsid w:val="00184AD2"/>
    <w:rsid w:val="00185593"/>
    <w:rsid w:val="00190D18"/>
    <w:rsid w:val="00190DCA"/>
    <w:rsid w:val="00190E79"/>
    <w:rsid w:val="001910CE"/>
    <w:rsid w:val="0019154C"/>
    <w:rsid w:val="00192B2F"/>
    <w:rsid w:val="00192F8D"/>
    <w:rsid w:val="00196EFD"/>
    <w:rsid w:val="001A0D9F"/>
    <w:rsid w:val="001A0FD4"/>
    <w:rsid w:val="001A1C1C"/>
    <w:rsid w:val="001A21AF"/>
    <w:rsid w:val="001A6275"/>
    <w:rsid w:val="001A7DA1"/>
    <w:rsid w:val="001B081E"/>
    <w:rsid w:val="001B096A"/>
    <w:rsid w:val="001B1B26"/>
    <w:rsid w:val="001B2AEC"/>
    <w:rsid w:val="001B37D9"/>
    <w:rsid w:val="001B3A28"/>
    <w:rsid w:val="001B4F93"/>
    <w:rsid w:val="001B55C7"/>
    <w:rsid w:val="001B5BDE"/>
    <w:rsid w:val="001B68D3"/>
    <w:rsid w:val="001B754E"/>
    <w:rsid w:val="001C1B9E"/>
    <w:rsid w:val="001C6ED4"/>
    <w:rsid w:val="001D0F13"/>
    <w:rsid w:val="001D12DB"/>
    <w:rsid w:val="001D295D"/>
    <w:rsid w:val="001D2C7E"/>
    <w:rsid w:val="001D4991"/>
    <w:rsid w:val="001D4D95"/>
    <w:rsid w:val="001D61BF"/>
    <w:rsid w:val="001D7F35"/>
    <w:rsid w:val="001E06D4"/>
    <w:rsid w:val="001E10DA"/>
    <w:rsid w:val="001E31AF"/>
    <w:rsid w:val="001E370B"/>
    <w:rsid w:val="001E6CAB"/>
    <w:rsid w:val="001E773A"/>
    <w:rsid w:val="001F2BA8"/>
    <w:rsid w:val="001F35AF"/>
    <w:rsid w:val="001F5219"/>
    <w:rsid w:val="001F56E7"/>
    <w:rsid w:val="001F5C74"/>
    <w:rsid w:val="001F644A"/>
    <w:rsid w:val="001F779F"/>
    <w:rsid w:val="00200F3E"/>
    <w:rsid w:val="002026F0"/>
    <w:rsid w:val="0020457A"/>
    <w:rsid w:val="002047C1"/>
    <w:rsid w:val="002053E8"/>
    <w:rsid w:val="0020551A"/>
    <w:rsid w:val="00205EF6"/>
    <w:rsid w:val="00206685"/>
    <w:rsid w:val="00206C8D"/>
    <w:rsid w:val="00207372"/>
    <w:rsid w:val="00211DA4"/>
    <w:rsid w:val="00211F87"/>
    <w:rsid w:val="0021254A"/>
    <w:rsid w:val="002127EB"/>
    <w:rsid w:val="00212C60"/>
    <w:rsid w:val="00212F94"/>
    <w:rsid w:val="0021382D"/>
    <w:rsid w:val="00220814"/>
    <w:rsid w:val="0022318C"/>
    <w:rsid w:val="0022485B"/>
    <w:rsid w:val="002272DE"/>
    <w:rsid w:val="002301F5"/>
    <w:rsid w:val="0023103C"/>
    <w:rsid w:val="002352B9"/>
    <w:rsid w:val="002360CE"/>
    <w:rsid w:val="00236D5C"/>
    <w:rsid w:val="00237152"/>
    <w:rsid w:val="002373BD"/>
    <w:rsid w:val="002421BF"/>
    <w:rsid w:val="002442E9"/>
    <w:rsid w:val="0024439C"/>
    <w:rsid w:val="002460EF"/>
    <w:rsid w:val="00247EEA"/>
    <w:rsid w:val="00250906"/>
    <w:rsid w:val="002549ED"/>
    <w:rsid w:val="00255818"/>
    <w:rsid w:val="002559E0"/>
    <w:rsid w:val="00256134"/>
    <w:rsid w:val="002578CE"/>
    <w:rsid w:val="002578D7"/>
    <w:rsid w:val="00260004"/>
    <w:rsid w:val="00264416"/>
    <w:rsid w:val="00264908"/>
    <w:rsid w:val="00265D2A"/>
    <w:rsid w:val="00265F5A"/>
    <w:rsid w:val="00267293"/>
    <w:rsid w:val="00267411"/>
    <w:rsid w:val="0027200B"/>
    <w:rsid w:val="00275614"/>
    <w:rsid w:val="0027611D"/>
    <w:rsid w:val="0027620F"/>
    <w:rsid w:val="00276464"/>
    <w:rsid w:val="00277065"/>
    <w:rsid w:val="0028589B"/>
    <w:rsid w:val="0028744C"/>
    <w:rsid w:val="00291647"/>
    <w:rsid w:val="0029221A"/>
    <w:rsid w:val="00292BCB"/>
    <w:rsid w:val="00292D32"/>
    <w:rsid w:val="00294286"/>
    <w:rsid w:val="00294837"/>
    <w:rsid w:val="002A4468"/>
    <w:rsid w:val="002A6C0B"/>
    <w:rsid w:val="002B13B5"/>
    <w:rsid w:val="002B2040"/>
    <w:rsid w:val="002B2DE4"/>
    <w:rsid w:val="002B320F"/>
    <w:rsid w:val="002B5564"/>
    <w:rsid w:val="002B79D4"/>
    <w:rsid w:val="002B7AFF"/>
    <w:rsid w:val="002C02B5"/>
    <w:rsid w:val="002C042E"/>
    <w:rsid w:val="002C3746"/>
    <w:rsid w:val="002C39BD"/>
    <w:rsid w:val="002C53BA"/>
    <w:rsid w:val="002C6E19"/>
    <w:rsid w:val="002D0518"/>
    <w:rsid w:val="002D0832"/>
    <w:rsid w:val="002D1C1C"/>
    <w:rsid w:val="002D326B"/>
    <w:rsid w:val="002D4993"/>
    <w:rsid w:val="002E0C27"/>
    <w:rsid w:val="002E1151"/>
    <w:rsid w:val="002E3C11"/>
    <w:rsid w:val="002E3EE6"/>
    <w:rsid w:val="002E432D"/>
    <w:rsid w:val="002E483E"/>
    <w:rsid w:val="002E4B32"/>
    <w:rsid w:val="002E5066"/>
    <w:rsid w:val="002E5DEC"/>
    <w:rsid w:val="002E69B4"/>
    <w:rsid w:val="002E6BDA"/>
    <w:rsid w:val="002F21B0"/>
    <w:rsid w:val="002F41BB"/>
    <w:rsid w:val="002F6C64"/>
    <w:rsid w:val="003006AF"/>
    <w:rsid w:val="00301928"/>
    <w:rsid w:val="0030210E"/>
    <w:rsid w:val="003037CD"/>
    <w:rsid w:val="00306593"/>
    <w:rsid w:val="00306E37"/>
    <w:rsid w:val="00310097"/>
    <w:rsid w:val="003111C9"/>
    <w:rsid w:val="00311928"/>
    <w:rsid w:val="00313D8C"/>
    <w:rsid w:val="00313F45"/>
    <w:rsid w:val="0031533C"/>
    <w:rsid w:val="0032042C"/>
    <w:rsid w:val="003209DA"/>
    <w:rsid w:val="00321BEB"/>
    <w:rsid w:val="003235B5"/>
    <w:rsid w:val="00323A30"/>
    <w:rsid w:val="0032438F"/>
    <w:rsid w:val="00324457"/>
    <w:rsid w:val="00324734"/>
    <w:rsid w:val="0032555A"/>
    <w:rsid w:val="003266B3"/>
    <w:rsid w:val="00326AA7"/>
    <w:rsid w:val="00326C2C"/>
    <w:rsid w:val="00326CF8"/>
    <w:rsid w:val="00326ED2"/>
    <w:rsid w:val="00327122"/>
    <w:rsid w:val="00327E34"/>
    <w:rsid w:val="00330756"/>
    <w:rsid w:val="0033323E"/>
    <w:rsid w:val="00333A8F"/>
    <w:rsid w:val="00333AD2"/>
    <w:rsid w:val="003359BE"/>
    <w:rsid w:val="0033658B"/>
    <w:rsid w:val="00336CA9"/>
    <w:rsid w:val="00340D6F"/>
    <w:rsid w:val="0034107A"/>
    <w:rsid w:val="00341714"/>
    <w:rsid w:val="00342837"/>
    <w:rsid w:val="0034338B"/>
    <w:rsid w:val="00344C9F"/>
    <w:rsid w:val="00345038"/>
    <w:rsid w:val="00347C64"/>
    <w:rsid w:val="00347F1D"/>
    <w:rsid w:val="00351FEC"/>
    <w:rsid w:val="0035226B"/>
    <w:rsid w:val="00352B11"/>
    <w:rsid w:val="00354CE0"/>
    <w:rsid w:val="0035540A"/>
    <w:rsid w:val="00356E08"/>
    <w:rsid w:val="003574B3"/>
    <w:rsid w:val="00357B94"/>
    <w:rsid w:val="0036027D"/>
    <w:rsid w:val="00361F02"/>
    <w:rsid w:val="0036260A"/>
    <w:rsid w:val="003642BD"/>
    <w:rsid w:val="003708D8"/>
    <w:rsid w:val="00372081"/>
    <w:rsid w:val="003729E7"/>
    <w:rsid w:val="00373D3A"/>
    <w:rsid w:val="00374BC5"/>
    <w:rsid w:val="00376B46"/>
    <w:rsid w:val="00376B69"/>
    <w:rsid w:val="00376C70"/>
    <w:rsid w:val="00376E51"/>
    <w:rsid w:val="0038025B"/>
    <w:rsid w:val="003806CD"/>
    <w:rsid w:val="00381B5B"/>
    <w:rsid w:val="00381F19"/>
    <w:rsid w:val="003827DB"/>
    <w:rsid w:val="003831F7"/>
    <w:rsid w:val="00383246"/>
    <w:rsid w:val="00383FA8"/>
    <w:rsid w:val="0038411C"/>
    <w:rsid w:val="0039031F"/>
    <w:rsid w:val="00395540"/>
    <w:rsid w:val="00395562"/>
    <w:rsid w:val="00396B7D"/>
    <w:rsid w:val="003A078F"/>
    <w:rsid w:val="003A1F53"/>
    <w:rsid w:val="003A2163"/>
    <w:rsid w:val="003A282C"/>
    <w:rsid w:val="003A5D39"/>
    <w:rsid w:val="003A6E94"/>
    <w:rsid w:val="003B0271"/>
    <w:rsid w:val="003B11F5"/>
    <w:rsid w:val="003B2DF6"/>
    <w:rsid w:val="003B2E6A"/>
    <w:rsid w:val="003B33DB"/>
    <w:rsid w:val="003B52AA"/>
    <w:rsid w:val="003C08F1"/>
    <w:rsid w:val="003C25B1"/>
    <w:rsid w:val="003C3A04"/>
    <w:rsid w:val="003C6281"/>
    <w:rsid w:val="003C6674"/>
    <w:rsid w:val="003C6AF8"/>
    <w:rsid w:val="003C6E7A"/>
    <w:rsid w:val="003D0363"/>
    <w:rsid w:val="003D071B"/>
    <w:rsid w:val="003D13B7"/>
    <w:rsid w:val="003D1AE7"/>
    <w:rsid w:val="003D3C3B"/>
    <w:rsid w:val="003D40A6"/>
    <w:rsid w:val="003D455D"/>
    <w:rsid w:val="003D4981"/>
    <w:rsid w:val="003E3ADA"/>
    <w:rsid w:val="003E3F42"/>
    <w:rsid w:val="003E62A1"/>
    <w:rsid w:val="003E779F"/>
    <w:rsid w:val="003F0F1B"/>
    <w:rsid w:val="003F2916"/>
    <w:rsid w:val="003F3977"/>
    <w:rsid w:val="003F3E85"/>
    <w:rsid w:val="003F4236"/>
    <w:rsid w:val="003F502C"/>
    <w:rsid w:val="003F6FF8"/>
    <w:rsid w:val="00400B20"/>
    <w:rsid w:val="00401067"/>
    <w:rsid w:val="0040312D"/>
    <w:rsid w:val="00403BC8"/>
    <w:rsid w:val="00403FEF"/>
    <w:rsid w:val="00405700"/>
    <w:rsid w:val="00411AA3"/>
    <w:rsid w:val="0041293C"/>
    <w:rsid w:val="004140F3"/>
    <w:rsid w:val="00415A8B"/>
    <w:rsid w:val="00417265"/>
    <w:rsid w:val="00420B7B"/>
    <w:rsid w:val="00422218"/>
    <w:rsid w:val="00425043"/>
    <w:rsid w:val="00434D69"/>
    <w:rsid w:val="00435ADD"/>
    <w:rsid w:val="004401C2"/>
    <w:rsid w:val="004401FB"/>
    <w:rsid w:val="004412DB"/>
    <w:rsid w:val="00441EBE"/>
    <w:rsid w:val="00441FCF"/>
    <w:rsid w:val="00442918"/>
    <w:rsid w:val="00443057"/>
    <w:rsid w:val="004458B9"/>
    <w:rsid w:val="00450AE2"/>
    <w:rsid w:val="00452209"/>
    <w:rsid w:val="00455542"/>
    <w:rsid w:val="004565EF"/>
    <w:rsid w:val="00456EB7"/>
    <w:rsid w:val="00460286"/>
    <w:rsid w:val="00460A19"/>
    <w:rsid w:val="00460D47"/>
    <w:rsid w:val="00462985"/>
    <w:rsid w:val="00462F70"/>
    <w:rsid w:val="00464BE8"/>
    <w:rsid w:val="004652FB"/>
    <w:rsid w:val="00465923"/>
    <w:rsid w:val="004672B3"/>
    <w:rsid w:val="0046774B"/>
    <w:rsid w:val="00470D0E"/>
    <w:rsid w:val="00473EAE"/>
    <w:rsid w:val="00473F0B"/>
    <w:rsid w:val="00475E6F"/>
    <w:rsid w:val="0047781C"/>
    <w:rsid w:val="004812DF"/>
    <w:rsid w:val="0048188B"/>
    <w:rsid w:val="004818DA"/>
    <w:rsid w:val="00482CC7"/>
    <w:rsid w:val="004837FD"/>
    <w:rsid w:val="00484F67"/>
    <w:rsid w:val="004904C3"/>
    <w:rsid w:val="00492672"/>
    <w:rsid w:val="00492C60"/>
    <w:rsid w:val="004936A7"/>
    <w:rsid w:val="00493797"/>
    <w:rsid w:val="00494C2C"/>
    <w:rsid w:val="0049587B"/>
    <w:rsid w:val="00496264"/>
    <w:rsid w:val="00496738"/>
    <w:rsid w:val="0049771D"/>
    <w:rsid w:val="00497784"/>
    <w:rsid w:val="004A159E"/>
    <w:rsid w:val="004A181F"/>
    <w:rsid w:val="004A34E7"/>
    <w:rsid w:val="004A5444"/>
    <w:rsid w:val="004A5742"/>
    <w:rsid w:val="004A5AA9"/>
    <w:rsid w:val="004A6BFE"/>
    <w:rsid w:val="004A7D89"/>
    <w:rsid w:val="004B0FCE"/>
    <w:rsid w:val="004B1283"/>
    <w:rsid w:val="004B1AB0"/>
    <w:rsid w:val="004B2300"/>
    <w:rsid w:val="004B2AF2"/>
    <w:rsid w:val="004B2BE3"/>
    <w:rsid w:val="004B2FBF"/>
    <w:rsid w:val="004B3EB7"/>
    <w:rsid w:val="004B52F6"/>
    <w:rsid w:val="004B5A41"/>
    <w:rsid w:val="004B6DAE"/>
    <w:rsid w:val="004B7078"/>
    <w:rsid w:val="004B71FD"/>
    <w:rsid w:val="004B78C3"/>
    <w:rsid w:val="004C0F8B"/>
    <w:rsid w:val="004C2025"/>
    <w:rsid w:val="004C20C5"/>
    <w:rsid w:val="004C3B5B"/>
    <w:rsid w:val="004C42B9"/>
    <w:rsid w:val="004C62DC"/>
    <w:rsid w:val="004C7E23"/>
    <w:rsid w:val="004D06DF"/>
    <w:rsid w:val="004D600F"/>
    <w:rsid w:val="004D61C9"/>
    <w:rsid w:val="004D7F67"/>
    <w:rsid w:val="004E04F5"/>
    <w:rsid w:val="004E05CD"/>
    <w:rsid w:val="004E077A"/>
    <w:rsid w:val="004E114C"/>
    <w:rsid w:val="004E2DA4"/>
    <w:rsid w:val="004E30F9"/>
    <w:rsid w:val="004E311B"/>
    <w:rsid w:val="004F1373"/>
    <w:rsid w:val="004F263F"/>
    <w:rsid w:val="004F4962"/>
    <w:rsid w:val="004F5482"/>
    <w:rsid w:val="004F5EF9"/>
    <w:rsid w:val="00500774"/>
    <w:rsid w:val="00501F43"/>
    <w:rsid w:val="005020F0"/>
    <w:rsid w:val="00502432"/>
    <w:rsid w:val="00503F57"/>
    <w:rsid w:val="00504F58"/>
    <w:rsid w:val="00506EAB"/>
    <w:rsid w:val="00507C36"/>
    <w:rsid w:val="005102CE"/>
    <w:rsid w:val="00510EF7"/>
    <w:rsid w:val="005114E8"/>
    <w:rsid w:val="0051344B"/>
    <w:rsid w:val="0051465A"/>
    <w:rsid w:val="00515919"/>
    <w:rsid w:val="00516FC6"/>
    <w:rsid w:val="005177D8"/>
    <w:rsid w:val="00517E20"/>
    <w:rsid w:val="00520BD4"/>
    <w:rsid w:val="00521082"/>
    <w:rsid w:val="00524A78"/>
    <w:rsid w:val="00527A53"/>
    <w:rsid w:val="005338A5"/>
    <w:rsid w:val="00534A6A"/>
    <w:rsid w:val="0053727B"/>
    <w:rsid w:val="0054254A"/>
    <w:rsid w:val="00543F3E"/>
    <w:rsid w:val="005442C6"/>
    <w:rsid w:val="00546541"/>
    <w:rsid w:val="00547856"/>
    <w:rsid w:val="00552E32"/>
    <w:rsid w:val="00553CD8"/>
    <w:rsid w:val="00555EF1"/>
    <w:rsid w:val="005564BF"/>
    <w:rsid w:val="0055657E"/>
    <w:rsid w:val="00557A89"/>
    <w:rsid w:val="005605BD"/>
    <w:rsid w:val="00562481"/>
    <w:rsid w:val="005624CC"/>
    <w:rsid w:val="00572072"/>
    <w:rsid w:val="00572FB4"/>
    <w:rsid w:val="00574740"/>
    <w:rsid w:val="0057640E"/>
    <w:rsid w:val="00576C0B"/>
    <w:rsid w:val="00577322"/>
    <w:rsid w:val="00581344"/>
    <w:rsid w:val="005816BC"/>
    <w:rsid w:val="005832D2"/>
    <w:rsid w:val="005840E6"/>
    <w:rsid w:val="00585504"/>
    <w:rsid w:val="00585E7E"/>
    <w:rsid w:val="00586278"/>
    <w:rsid w:val="00590170"/>
    <w:rsid w:val="00591AEC"/>
    <w:rsid w:val="0059353D"/>
    <w:rsid w:val="00594016"/>
    <w:rsid w:val="00594D6E"/>
    <w:rsid w:val="00596794"/>
    <w:rsid w:val="00596E03"/>
    <w:rsid w:val="00597BBF"/>
    <w:rsid w:val="005A1308"/>
    <w:rsid w:val="005A18C7"/>
    <w:rsid w:val="005A2F5D"/>
    <w:rsid w:val="005A2FFE"/>
    <w:rsid w:val="005A476E"/>
    <w:rsid w:val="005A6631"/>
    <w:rsid w:val="005A7CDF"/>
    <w:rsid w:val="005B5A8E"/>
    <w:rsid w:val="005C1998"/>
    <w:rsid w:val="005C29E0"/>
    <w:rsid w:val="005C2BA2"/>
    <w:rsid w:val="005C37B0"/>
    <w:rsid w:val="005C4041"/>
    <w:rsid w:val="005C6F01"/>
    <w:rsid w:val="005C7213"/>
    <w:rsid w:val="005D0FC4"/>
    <w:rsid w:val="005D1519"/>
    <w:rsid w:val="005D1AD1"/>
    <w:rsid w:val="005D4178"/>
    <w:rsid w:val="005D41B0"/>
    <w:rsid w:val="005D4366"/>
    <w:rsid w:val="005D5861"/>
    <w:rsid w:val="005D6114"/>
    <w:rsid w:val="005D7586"/>
    <w:rsid w:val="005E2276"/>
    <w:rsid w:val="005E30B0"/>
    <w:rsid w:val="005E3DFD"/>
    <w:rsid w:val="005E42C1"/>
    <w:rsid w:val="005E49F6"/>
    <w:rsid w:val="005E4DCA"/>
    <w:rsid w:val="005E5F30"/>
    <w:rsid w:val="005E6401"/>
    <w:rsid w:val="005E7532"/>
    <w:rsid w:val="005F036F"/>
    <w:rsid w:val="005F0D7B"/>
    <w:rsid w:val="005F22BE"/>
    <w:rsid w:val="005F3CA5"/>
    <w:rsid w:val="005F4969"/>
    <w:rsid w:val="005F5C99"/>
    <w:rsid w:val="005F60B6"/>
    <w:rsid w:val="00600106"/>
    <w:rsid w:val="0060064B"/>
    <w:rsid w:val="00600C82"/>
    <w:rsid w:val="00602875"/>
    <w:rsid w:val="00602DCB"/>
    <w:rsid w:val="00602F3B"/>
    <w:rsid w:val="00605533"/>
    <w:rsid w:val="00605E93"/>
    <w:rsid w:val="00606206"/>
    <w:rsid w:val="00607BB2"/>
    <w:rsid w:val="0061159B"/>
    <w:rsid w:val="00614198"/>
    <w:rsid w:val="006145E5"/>
    <w:rsid w:val="00614617"/>
    <w:rsid w:val="00614C7A"/>
    <w:rsid w:val="006166EE"/>
    <w:rsid w:val="00620B1E"/>
    <w:rsid w:val="00621AE6"/>
    <w:rsid w:val="006239CF"/>
    <w:rsid w:val="00624FEF"/>
    <w:rsid w:val="00627A9D"/>
    <w:rsid w:val="00627CB3"/>
    <w:rsid w:val="006314A1"/>
    <w:rsid w:val="00631FE0"/>
    <w:rsid w:val="006325FB"/>
    <w:rsid w:val="00633D08"/>
    <w:rsid w:val="00634246"/>
    <w:rsid w:val="006369D5"/>
    <w:rsid w:val="00641C49"/>
    <w:rsid w:val="00643361"/>
    <w:rsid w:val="0064399A"/>
    <w:rsid w:val="0064552D"/>
    <w:rsid w:val="00650172"/>
    <w:rsid w:val="00652D03"/>
    <w:rsid w:val="00655FDA"/>
    <w:rsid w:val="00656267"/>
    <w:rsid w:val="00656488"/>
    <w:rsid w:val="00656B4A"/>
    <w:rsid w:val="006573CA"/>
    <w:rsid w:val="00660008"/>
    <w:rsid w:val="00660B12"/>
    <w:rsid w:val="006635A3"/>
    <w:rsid w:val="006649CD"/>
    <w:rsid w:val="00664B3E"/>
    <w:rsid w:val="00665780"/>
    <w:rsid w:val="006676F0"/>
    <w:rsid w:val="00667998"/>
    <w:rsid w:val="00670A2B"/>
    <w:rsid w:val="00671313"/>
    <w:rsid w:val="0067131C"/>
    <w:rsid w:val="00671A16"/>
    <w:rsid w:val="0067357D"/>
    <w:rsid w:val="00673A51"/>
    <w:rsid w:val="006747A5"/>
    <w:rsid w:val="00675943"/>
    <w:rsid w:val="00676032"/>
    <w:rsid w:val="00676A36"/>
    <w:rsid w:val="00681260"/>
    <w:rsid w:val="006816F7"/>
    <w:rsid w:val="006863C0"/>
    <w:rsid w:val="00690014"/>
    <w:rsid w:val="006906BE"/>
    <w:rsid w:val="00692983"/>
    <w:rsid w:val="00694493"/>
    <w:rsid w:val="006A0063"/>
    <w:rsid w:val="006A09DB"/>
    <w:rsid w:val="006A0BB7"/>
    <w:rsid w:val="006A0D5B"/>
    <w:rsid w:val="006A1371"/>
    <w:rsid w:val="006A1508"/>
    <w:rsid w:val="006A24FD"/>
    <w:rsid w:val="006A3B8E"/>
    <w:rsid w:val="006A7C0D"/>
    <w:rsid w:val="006A7CB9"/>
    <w:rsid w:val="006B0B54"/>
    <w:rsid w:val="006B10FC"/>
    <w:rsid w:val="006B1DED"/>
    <w:rsid w:val="006B30CF"/>
    <w:rsid w:val="006B328F"/>
    <w:rsid w:val="006B3E73"/>
    <w:rsid w:val="006B4925"/>
    <w:rsid w:val="006B4BDD"/>
    <w:rsid w:val="006B5F06"/>
    <w:rsid w:val="006C1438"/>
    <w:rsid w:val="006C14E3"/>
    <w:rsid w:val="006C4A9B"/>
    <w:rsid w:val="006C61BD"/>
    <w:rsid w:val="006C6BC6"/>
    <w:rsid w:val="006D12AF"/>
    <w:rsid w:val="006D170D"/>
    <w:rsid w:val="006D1AF0"/>
    <w:rsid w:val="006D60FC"/>
    <w:rsid w:val="006D65B2"/>
    <w:rsid w:val="006D727C"/>
    <w:rsid w:val="006E0147"/>
    <w:rsid w:val="006E0458"/>
    <w:rsid w:val="006E3125"/>
    <w:rsid w:val="006E457F"/>
    <w:rsid w:val="006E54F2"/>
    <w:rsid w:val="006E5E61"/>
    <w:rsid w:val="006E71E7"/>
    <w:rsid w:val="006E7CE0"/>
    <w:rsid w:val="006F15B6"/>
    <w:rsid w:val="006F2A45"/>
    <w:rsid w:val="006F2C55"/>
    <w:rsid w:val="006F3781"/>
    <w:rsid w:val="006F480F"/>
    <w:rsid w:val="006F528F"/>
    <w:rsid w:val="006F5CBB"/>
    <w:rsid w:val="006F6A3D"/>
    <w:rsid w:val="006F7D23"/>
    <w:rsid w:val="0070133C"/>
    <w:rsid w:val="0070437E"/>
    <w:rsid w:val="007045F0"/>
    <w:rsid w:val="00705876"/>
    <w:rsid w:val="0070651B"/>
    <w:rsid w:val="00706B66"/>
    <w:rsid w:val="00706D05"/>
    <w:rsid w:val="007102A1"/>
    <w:rsid w:val="007109DA"/>
    <w:rsid w:val="00714F49"/>
    <w:rsid w:val="00715E2A"/>
    <w:rsid w:val="00716F0B"/>
    <w:rsid w:val="00717FAC"/>
    <w:rsid w:val="007207AF"/>
    <w:rsid w:val="00720A2D"/>
    <w:rsid w:val="00723531"/>
    <w:rsid w:val="007238B7"/>
    <w:rsid w:val="00724A24"/>
    <w:rsid w:val="00725F96"/>
    <w:rsid w:val="0072605A"/>
    <w:rsid w:val="00726123"/>
    <w:rsid w:val="007267AA"/>
    <w:rsid w:val="00731721"/>
    <w:rsid w:val="007328AA"/>
    <w:rsid w:val="00734558"/>
    <w:rsid w:val="00734577"/>
    <w:rsid w:val="00735829"/>
    <w:rsid w:val="0073697F"/>
    <w:rsid w:val="0073766D"/>
    <w:rsid w:val="0074517D"/>
    <w:rsid w:val="00751777"/>
    <w:rsid w:val="00755651"/>
    <w:rsid w:val="00756ECF"/>
    <w:rsid w:val="0076264D"/>
    <w:rsid w:val="00763A67"/>
    <w:rsid w:val="00764996"/>
    <w:rsid w:val="00765AC4"/>
    <w:rsid w:val="00766E3A"/>
    <w:rsid w:val="00767A28"/>
    <w:rsid w:val="00771BE8"/>
    <w:rsid w:val="00772B1F"/>
    <w:rsid w:val="00774C8C"/>
    <w:rsid w:val="00776BA4"/>
    <w:rsid w:val="00776D77"/>
    <w:rsid w:val="00776E19"/>
    <w:rsid w:val="0078008F"/>
    <w:rsid w:val="00780DC6"/>
    <w:rsid w:val="007815AE"/>
    <w:rsid w:val="00781786"/>
    <w:rsid w:val="00781E48"/>
    <w:rsid w:val="0078500E"/>
    <w:rsid w:val="00786F84"/>
    <w:rsid w:val="00787A9C"/>
    <w:rsid w:val="00790B22"/>
    <w:rsid w:val="00791ACE"/>
    <w:rsid w:val="0079251E"/>
    <w:rsid w:val="00795F37"/>
    <w:rsid w:val="00797080"/>
    <w:rsid w:val="007A011A"/>
    <w:rsid w:val="007A140B"/>
    <w:rsid w:val="007A192A"/>
    <w:rsid w:val="007A4E51"/>
    <w:rsid w:val="007A64BE"/>
    <w:rsid w:val="007A7CF2"/>
    <w:rsid w:val="007B1326"/>
    <w:rsid w:val="007B25EB"/>
    <w:rsid w:val="007B3E2D"/>
    <w:rsid w:val="007B5AA7"/>
    <w:rsid w:val="007B5B84"/>
    <w:rsid w:val="007B5C00"/>
    <w:rsid w:val="007B662D"/>
    <w:rsid w:val="007B6EA2"/>
    <w:rsid w:val="007B79FB"/>
    <w:rsid w:val="007C76B4"/>
    <w:rsid w:val="007D3285"/>
    <w:rsid w:val="007D3461"/>
    <w:rsid w:val="007D5ED4"/>
    <w:rsid w:val="007D6F8B"/>
    <w:rsid w:val="007E2023"/>
    <w:rsid w:val="007E2DE2"/>
    <w:rsid w:val="007E31C2"/>
    <w:rsid w:val="007E45C2"/>
    <w:rsid w:val="007E569A"/>
    <w:rsid w:val="007E57F8"/>
    <w:rsid w:val="007E5EB6"/>
    <w:rsid w:val="007E641C"/>
    <w:rsid w:val="007E74EE"/>
    <w:rsid w:val="007E7F09"/>
    <w:rsid w:val="007F19BE"/>
    <w:rsid w:val="007F2F9E"/>
    <w:rsid w:val="007F4F26"/>
    <w:rsid w:val="007F5A3C"/>
    <w:rsid w:val="007F64A0"/>
    <w:rsid w:val="007F789B"/>
    <w:rsid w:val="007F795F"/>
    <w:rsid w:val="0080058E"/>
    <w:rsid w:val="00800E04"/>
    <w:rsid w:val="00801EAB"/>
    <w:rsid w:val="00802594"/>
    <w:rsid w:val="0080561A"/>
    <w:rsid w:val="00805985"/>
    <w:rsid w:val="00805E9A"/>
    <w:rsid w:val="008066A8"/>
    <w:rsid w:val="008068DD"/>
    <w:rsid w:val="00807B48"/>
    <w:rsid w:val="00807EA1"/>
    <w:rsid w:val="00807F82"/>
    <w:rsid w:val="0081093B"/>
    <w:rsid w:val="0081126E"/>
    <w:rsid w:val="00811916"/>
    <w:rsid w:val="00811ABF"/>
    <w:rsid w:val="00812FB0"/>
    <w:rsid w:val="0081362A"/>
    <w:rsid w:val="008160D7"/>
    <w:rsid w:val="00817718"/>
    <w:rsid w:val="00820D88"/>
    <w:rsid w:val="00821059"/>
    <w:rsid w:val="008249B4"/>
    <w:rsid w:val="00826513"/>
    <w:rsid w:val="0083132A"/>
    <w:rsid w:val="00831412"/>
    <w:rsid w:val="008336C3"/>
    <w:rsid w:val="00835CB9"/>
    <w:rsid w:val="00836A36"/>
    <w:rsid w:val="008376EC"/>
    <w:rsid w:val="00837833"/>
    <w:rsid w:val="00837D29"/>
    <w:rsid w:val="00837D95"/>
    <w:rsid w:val="008421A8"/>
    <w:rsid w:val="00845360"/>
    <w:rsid w:val="00847009"/>
    <w:rsid w:val="008472AD"/>
    <w:rsid w:val="0084732C"/>
    <w:rsid w:val="008502B2"/>
    <w:rsid w:val="00851A62"/>
    <w:rsid w:val="008525CE"/>
    <w:rsid w:val="00853FB5"/>
    <w:rsid w:val="00854FE8"/>
    <w:rsid w:val="00855669"/>
    <w:rsid w:val="008560D0"/>
    <w:rsid w:val="0085689F"/>
    <w:rsid w:val="008607CF"/>
    <w:rsid w:val="00861669"/>
    <w:rsid w:val="00861DDF"/>
    <w:rsid w:val="00863044"/>
    <w:rsid w:val="0086561E"/>
    <w:rsid w:val="00865954"/>
    <w:rsid w:val="008677EF"/>
    <w:rsid w:val="0087324A"/>
    <w:rsid w:val="008738A3"/>
    <w:rsid w:val="008745E0"/>
    <w:rsid w:val="00874B5E"/>
    <w:rsid w:val="008766C9"/>
    <w:rsid w:val="0087762B"/>
    <w:rsid w:val="00877738"/>
    <w:rsid w:val="00880F8E"/>
    <w:rsid w:val="0088156F"/>
    <w:rsid w:val="00883D31"/>
    <w:rsid w:val="0088547D"/>
    <w:rsid w:val="00886992"/>
    <w:rsid w:val="0088727B"/>
    <w:rsid w:val="008875E6"/>
    <w:rsid w:val="00890878"/>
    <w:rsid w:val="008910A8"/>
    <w:rsid w:val="0089198D"/>
    <w:rsid w:val="00892235"/>
    <w:rsid w:val="0089283E"/>
    <w:rsid w:val="00893A8F"/>
    <w:rsid w:val="008A010A"/>
    <w:rsid w:val="008A14FD"/>
    <w:rsid w:val="008A2C53"/>
    <w:rsid w:val="008A2CC1"/>
    <w:rsid w:val="008A554A"/>
    <w:rsid w:val="008A55CF"/>
    <w:rsid w:val="008A700C"/>
    <w:rsid w:val="008A7BFF"/>
    <w:rsid w:val="008B0B41"/>
    <w:rsid w:val="008B0FFC"/>
    <w:rsid w:val="008B2765"/>
    <w:rsid w:val="008B3460"/>
    <w:rsid w:val="008B3D7C"/>
    <w:rsid w:val="008B577A"/>
    <w:rsid w:val="008B597A"/>
    <w:rsid w:val="008B599F"/>
    <w:rsid w:val="008B5F92"/>
    <w:rsid w:val="008B631F"/>
    <w:rsid w:val="008C4E9F"/>
    <w:rsid w:val="008C5277"/>
    <w:rsid w:val="008C5D03"/>
    <w:rsid w:val="008C636A"/>
    <w:rsid w:val="008C7E59"/>
    <w:rsid w:val="008D015B"/>
    <w:rsid w:val="008D08F0"/>
    <w:rsid w:val="008D0C94"/>
    <w:rsid w:val="008D400A"/>
    <w:rsid w:val="008D42E9"/>
    <w:rsid w:val="008D44F0"/>
    <w:rsid w:val="008D4C7C"/>
    <w:rsid w:val="008D587A"/>
    <w:rsid w:val="008D7803"/>
    <w:rsid w:val="008E0978"/>
    <w:rsid w:val="008E1CAD"/>
    <w:rsid w:val="008E3348"/>
    <w:rsid w:val="008E3EC3"/>
    <w:rsid w:val="008E4561"/>
    <w:rsid w:val="008E4840"/>
    <w:rsid w:val="008E5D82"/>
    <w:rsid w:val="008E6047"/>
    <w:rsid w:val="008E718C"/>
    <w:rsid w:val="008E7E66"/>
    <w:rsid w:val="008F00B1"/>
    <w:rsid w:val="008F370C"/>
    <w:rsid w:val="008F4050"/>
    <w:rsid w:val="008F67C6"/>
    <w:rsid w:val="00906100"/>
    <w:rsid w:val="009067FC"/>
    <w:rsid w:val="00910DFD"/>
    <w:rsid w:val="0091422F"/>
    <w:rsid w:val="00914D3E"/>
    <w:rsid w:val="009229C9"/>
    <w:rsid w:val="00922C16"/>
    <w:rsid w:val="009249A3"/>
    <w:rsid w:val="00925120"/>
    <w:rsid w:val="00926A70"/>
    <w:rsid w:val="00927B1B"/>
    <w:rsid w:val="00930597"/>
    <w:rsid w:val="009308DD"/>
    <w:rsid w:val="009310F1"/>
    <w:rsid w:val="009316D5"/>
    <w:rsid w:val="00933612"/>
    <w:rsid w:val="009345CB"/>
    <w:rsid w:val="0093619A"/>
    <w:rsid w:val="00936F38"/>
    <w:rsid w:val="00937082"/>
    <w:rsid w:val="00937C57"/>
    <w:rsid w:val="009410DA"/>
    <w:rsid w:val="00941BC3"/>
    <w:rsid w:val="0094215E"/>
    <w:rsid w:val="009429ED"/>
    <w:rsid w:val="00942ACD"/>
    <w:rsid w:val="00947969"/>
    <w:rsid w:val="00951882"/>
    <w:rsid w:val="00953A10"/>
    <w:rsid w:val="00955B2A"/>
    <w:rsid w:val="00960458"/>
    <w:rsid w:val="009609FC"/>
    <w:rsid w:val="0096230C"/>
    <w:rsid w:val="00962AFF"/>
    <w:rsid w:val="00963BD7"/>
    <w:rsid w:val="00964BFC"/>
    <w:rsid w:val="00971BC0"/>
    <w:rsid w:val="00973027"/>
    <w:rsid w:val="009775CE"/>
    <w:rsid w:val="00980ACA"/>
    <w:rsid w:val="00981092"/>
    <w:rsid w:val="00982F8B"/>
    <w:rsid w:val="0098393A"/>
    <w:rsid w:val="00983BB3"/>
    <w:rsid w:val="009855FC"/>
    <w:rsid w:val="00985C75"/>
    <w:rsid w:val="00985DCC"/>
    <w:rsid w:val="00987A85"/>
    <w:rsid w:val="00991107"/>
    <w:rsid w:val="00995F15"/>
    <w:rsid w:val="009A0F2E"/>
    <w:rsid w:val="009A2353"/>
    <w:rsid w:val="009A2A5D"/>
    <w:rsid w:val="009A5AE9"/>
    <w:rsid w:val="009A6680"/>
    <w:rsid w:val="009A7297"/>
    <w:rsid w:val="009B17CA"/>
    <w:rsid w:val="009B3912"/>
    <w:rsid w:val="009B3A62"/>
    <w:rsid w:val="009B3B87"/>
    <w:rsid w:val="009B3DC9"/>
    <w:rsid w:val="009B6C1D"/>
    <w:rsid w:val="009B72C8"/>
    <w:rsid w:val="009B7861"/>
    <w:rsid w:val="009C0901"/>
    <w:rsid w:val="009C0C24"/>
    <w:rsid w:val="009C30A8"/>
    <w:rsid w:val="009C4133"/>
    <w:rsid w:val="009C4274"/>
    <w:rsid w:val="009C4E5F"/>
    <w:rsid w:val="009C69DB"/>
    <w:rsid w:val="009D19A2"/>
    <w:rsid w:val="009D215A"/>
    <w:rsid w:val="009D2BBC"/>
    <w:rsid w:val="009D37D6"/>
    <w:rsid w:val="009D4AB2"/>
    <w:rsid w:val="009D4CDA"/>
    <w:rsid w:val="009D583F"/>
    <w:rsid w:val="009D591A"/>
    <w:rsid w:val="009D5EE6"/>
    <w:rsid w:val="009D678E"/>
    <w:rsid w:val="009D77E4"/>
    <w:rsid w:val="009E10D4"/>
    <w:rsid w:val="009E2DC7"/>
    <w:rsid w:val="009E49F8"/>
    <w:rsid w:val="009E50FD"/>
    <w:rsid w:val="009E58C7"/>
    <w:rsid w:val="009F0FD4"/>
    <w:rsid w:val="009F26F9"/>
    <w:rsid w:val="009F3F58"/>
    <w:rsid w:val="009F50E3"/>
    <w:rsid w:val="009F5AFB"/>
    <w:rsid w:val="009F70BF"/>
    <w:rsid w:val="00A0075C"/>
    <w:rsid w:val="00A02CB8"/>
    <w:rsid w:val="00A02F51"/>
    <w:rsid w:val="00A04423"/>
    <w:rsid w:val="00A04A17"/>
    <w:rsid w:val="00A04FCA"/>
    <w:rsid w:val="00A062D2"/>
    <w:rsid w:val="00A07D66"/>
    <w:rsid w:val="00A11175"/>
    <w:rsid w:val="00A12E88"/>
    <w:rsid w:val="00A13888"/>
    <w:rsid w:val="00A15792"/>
    <w:rsid w:val="00A159D9"/>
    <w:rsid w:val="00A16626"/>
    <w:rsid w:val="00A16D9A"/>
    <w:rsid w:val="00A2129C"/>
    <w:rsid w:val="00A21320"/>
    <w:rsid w:val="00A22A25"/>
    <w:rsid w:val="00A2491D"/>
    <w:rsid w:val="00A24EEF"/>
    <w:rsid w:val="00A262CF"/>
    <w:rsid w:val="00A30A77"/>
    <w:rsid w:val="00A30EA9"/>
    <w:rsid w:val="00A3152E"/>
    <w:rsid w:val="00A32DE4"/>
    <w:rsid w:val="00A33652"/>
    <w:rsid w:val="00A33D87"/>
    <w:rsid w:val="00A346CB"/>
    <w:rsid w:val="00A34BE5"/>
    <w:rsid w:val="00A36FED"/>
    <w:rsid w:val="00A4062B"/>
    <w:rsid w:val="00A40F5B"/>
    <w:rsid w:val="00A4106B"/>
    <w:rsid w:val="00A442E0"/>
    <w:rsid w:val="00A45606"/>
    <w:rsid w:val="00A456A0"/>
    <w:rsid w:val="00A46363"/>
    <w:rsid w:val="00A507A2"/>
    <w:rsid w:val="00A5362A"/>
    <w:rsid w:val="00A53A34"/>
    <w:rsid w:val="00A54220"/>
    <w:rsid w:val="00A575B0"/>
    <w:rsid w:val="00A5760C"/>
    <w:rsid w:val="00A576D7"/>
    <w:rsid w:val="00A57E64"/>
    <w:rsid w:val="00A60A2A"/>
    <w:rsid w:val="00A6140B"/>
    <w:rsid w:val="00A6180C"/>
    <w:rsid w:val="00A6320F"/>
    <w:rsid w:val="00A64873"/>
    <w:rsid w:val="00A65237"/>
    <w:rsid w:val="00A659B5"/>
    <w:rsid w:val="00A66C7B"/>
    <w:rsid w:val="00A70742"/>
    <w:rsid w:val="00A71189"/>
    <w:rsid w:val="00A715F2"/>
    <w:rsid w:val="00A720E3"/>
    <w:rsid w:val="00A7407A"/>
    <w:rsid w:val="00A7459F"/>
    <w:rsid w:val="00A75220"/>
    <w:rsid w:val="00A759AB"/>
    <w:rsid w:val="00A7633C"/>
    <w:rsid w:val="00A776AB"/>
    <w:rsid w:val="00A777D6"/>
    <w:rsid w:val="00A7788A"/>
    <w:rsid w:val="00A81F35"/>
    <w:rsid w:val="00A82453"/>
    <w:rsid w:val="00A83543"/>
    <w:rsid w:val="00A83ED0"/>
    <w:rsid w:val="00A855DB"/>
    <w:rsid w:val="00A86D53"/>
    <w:rsid w:val="00A874E0"/>
    <w:rsid w:val="00A90225"/>
    <w:rsid w:val="00A913C8"/>
    <w:rsid w:val="00A91428"/>
    <w:rsid w:val="00A9167F"/>
    <w:rsid w:val="00A91964"/>
    <w:rsid w:val="00A946A3"/>
    <w:rsid w:val="00A95FC6"/>
    <w:rsid w:val="00A96D5F"/>
    <w:rsid w:val="00A971B2"/>
    <w:rsid w:val="00AA0227"/>
    <w:rsid w:val="00AA404E"/>
    <w:rsid w:val="00AA5558"/>
    <w:rsid w:val="00AA59A5"/>
    <w:rsid w:val="00AA699D"/>
    <w:rsid w:val="00AA7F94"/>
    <w:rsid w:val="00AB10DB"/>
    <w:rsid w:val="00AB1BC4"/>
    <w:rsid w:val="00AB378A"/>
    <w:rsid w:val="00AB38BC"/>
    <w:rsid w:val="00AB471F"/>
    <w:rsid w:val="00AB4E35"/>
    <w:rsid w:val="00AB559A"/>
    <w:rsid w:val="00AB55DB"/>
    <w:rsid w:val="00AB745C"/>
    <w:rsid w:val="00AC00BF"/>
    <w:rsid w:val="00AC10BD"/>
    <w:rsid w:val="00AC1340"/>
    <w:rsid w:val="00AC2171"/>
    <w:rsid w:val="00AC25D0"/>
    <w:rsid w:val="00AC55B7"/>
    <w:rsid w:val="00AC6216"/>
    <w:rsid w:val="00AC7EFD"/>
    <w:rsid w:val="00AD5586"/>
    <w:rsid w:val="00AD5B3F"/>
    <w:rsid w:val="00AD69C2"/>
    <w:rsid w:val="00AD6B8D"/>
    <w:rsid w:val="00AE1007"/>
    <w:rsid w:val="00AE51F5"/>
    <w:rsid w:val="00AE54ED"/>
    <w:rsid w:val="00AE6DCD"/>
    <w:rsid w:val="00AF4D66"/>
    <w:rsid w:val="00AF7519"/>
    <w:rsid w:val="00B007DC"/>
    <w:rsid w:val="00B0221F"/>
    <w:rsid w:val="00B023E4"/>
    <w:rsid w:val="00B03D0C"/>
    <w:rsid w:val="00B03E06"/>
    <w:rsid w:val="00B0445E"/>
    <w:rsid w:val="00B0485F"/>
    <w:rsid w:val="00B0514B"/>
    <w:rsid w:val="00B05BC9"/>
    <w:rsid w:val="00B07533"/>
    <w:rsid w:val="00B11C42"/>
    <w:rsid w:val="00B12B5F"/>
    <w:rsid w:val="00B15BDB"/>
    <w:rsid w:val="00B162A2"/>
    <w:rsid w:val="00B1690D"/>
    <w:rsid w:val="00B2042E"/>
    <w:rsid w:val="00B212A4"/>
    <w:rsid w:val="00B2167A"/>
    <w:rsid w:val="00B21D59"/>
    <w:rsid w:val="00B222F6"/>
    <w:rsid w:val="00B271D7"/>
    <w:rsid w:val="00B27FF5"/>
    <w:rsid w:val="00B30CC9"/>
    <w:rsid w:val="00B31189"/>
    <w:rsid w:val="00B311D8"/>
    <w:rsid w:val="00B31D47"/>
    <w:rsid w:val="00B32DA7"/>
    <w:rsid w:val="00B33499"/>
    <w:rsid w:val="00B33F4A"/>
    <w:rsid w:val="00B34865"/>
    <w:rsid w:val="00B3598C"/>
    <w:rsid w:val="00B36B49"/>
    <w:rsid w:val="00B36DAD"/>
    <w:rsid w:val="00B36F18"/>
    <w:rsid w:val="00B416BA"/>
    <w:rsid w:val="00B431A4"/>
    <w:rsid w:val="00B442A5"/>
    <w:rsid w:val="00B445E4"/>
    <w:rsid w:val="00B45570"/>
    <w:rsid w:val="00B4646A"/>
    <w:rsid w:val="00B46662"/>
    <w:rsid w:val="00B47386"/>
    <w:rsid w:val="00B5437F"/>
    <w:rsid w:val="00B565D8"/>
    <w:rsid w:val="00B56C37"/>
    <w:rsid w:val="00B608FE"/>
    <w:rsid w:val="00B61D2B"/>
    <w:rsid w:val="00B62B24"/>
    <w:rsid w:val="00B63AC6"/>
    <w:rsid w:val="00B647AB"/>
    <w:rsid w:val="00B647D2"/>
    <w:rsid w:val="00B649A9"/>
    <w:rsid w:val="00B65D6C"/>
    <w:rsid w:val="00B7047E"/>
    <w:rsid w:val="00B71AD9"/>
    <w:rsid w:val="00B73F2B"/>
    <w:rsid w:val="00B74626"/>
    <w:rsid w:val="00B765CF"/>
    <w:rsid w:val="00B7785E"/>
    <w:rsid w:val="00B779E1"/>
    <w:rsid w:val="00B80554"/>
    <w:rsid w:val="00B80E66"/>
    <w:rsid w:val="00B81369"/>
    <w:rsid w:val="00B844AE"/>
    <w:rsid w:val="00B85416"/>
    <w:rsid w:val="00B859F4"/>
    <w:rsid w:val="00B87564"/>
    <w:rsid w:val="00B91C8F"/>
    <w:rsid w:val="00B938DF"/>
    <w:rsid w:val="00B96ECC"/>
    <w:rsid w:val="00B97423"/>
    <w:rsid w:val="00BA0511"/>
    <w:rsid w:val="00BA066B"/>
    <w:rsid w:val="00BA13BE"/>
    <w:rsid w:val="00BA22CF"/>
    <w:rsid w:val="00BA3DAF"/>
    <w:rsid w:val="00BA57F6"/>
    <w:rsid w:val="00BA724F"/>
    <w:rsid w:val="00BA7FB9"/>
    <w:rsid w:val="00BB0707"/>
    <w:rsid w:val="00BB2109"/>
    <w:rsid w:val="00BB3163"/>
    <w:rsid w:val="00BB4247"/>
    <w:rsid w:val="00BB6CA4"/>
    <w:rsid w:val="00BB75F9"/>
    <w:rsid w:val="00BC00C6"/>
    <w:rsid w:val="00BC018D"/>
    <w:rsid w:val="00BC1A23"/>
    <w:rsid w:val="00BC1CD1"/>
    <w:rsid w:val="00BC2AC2"/>
    <w:rsid w:val="00BC57E8"/>
    <w:rsid w:val="00BC5B0C"/>
    <w:rsid w:val="00BC7938"/>
    <w:rsid w:val="00BD1BEE"/>
    <w:rsid w:val="00BD28F7"/>
    <w:rsid w:val="00BD3557"/>
    <w:rsid w:val="00BD44DB"/>
    <w:rsid w:val="00BD7BA9"/>
    <w:rsid w:val="00BE041C"/>
    <w:rsid w:val="00BE369E"/>
    <w:rsid w:val="00BE36AA"/>
    <w:rsid w:val="00BE408F"/>
    <w:rsid w:val="00BE5BD7"/>
    <w:rsid w:val="00BE7342"/>
    <w:rsid w:val="00BF2C09"/>
    <w:rsid w:val="00BF359E"/>
    <w:rsid w:val="00BF5444"/>
    <w:rsid w:val="00BF62DA"/>
    <w:rsid w:val="00C01C00"/>
    <w:rsid w:val="00C02B37"/>
    <w:rsid w:val="00C06372"/>
    <w:rsid w:val="00C06D2D"/>
    <w:rsid w:val="00C06D64"/>
    <w:rsid w:val="00C11D34"/>
    <w:rsid w:val="00C11E1E"/>
    <w:rsid w:val="00C1286F"/>
    <w:rsid w:val="00C129E7"/>
    <w:rsid w:val="00C144AB"/>
    <w:rsid w:val="00C14779"/>
    <w:rsid w:val="00C1548B"/>
    <w:rsid w:val="00C16591"/>
    <w:rsid w:val="00C17DD2"/>
    <w:rsid w:val="00C2186C"/>
    <w:rsid w:val="00C224B1"/>
    <w:rsid w:val="00C22656"/>
    <w:rsid w:val="00C24979"/>
    <w:rsid w:val="00C24B38"/>
    <w:rsid w:val="00C26954"/>
    <w:rsid w:val="00C320EB"/>
    <w:rsid w:val="00C34313"/>
    <w:rsid w:val="00C34831"/>
    <w:rsid w:val="00C37012"/>
    <w:rsid w:val="00C37ECC"/>
    <w:rsid w:val="00C401C8"/>
    <w:rsid w:val="00C4223B"/>
    <w:rsid w:val="00C434A3"/>
    <w:rsid w:val="00C46DC4"/>
    <w:rsid w:val="00C52535"/>
    <w:rsid w:val="00C55AC6"/>
    <w:rsid w:val="00C566D5"/>
    <w:rsid w:val="00C57C4E"/>
    <w:rsid w:val="00C61203"/>
    <w:rsid w:val="00C61CC2"/>
    <w:rsid w:val="00C63930"/>
    <w:rsid w:val="00C656C3"/>
    <w:rsid w:val="00C65D72"/>
    <w:rsid w:val="00C66C00"/>
    <w:rsid w:val="00C676B5"/>
    <w:rsid w:val="00C71D18"/>
    <w:rsid w:val="00C72CF4"/>
    <w:rsid w:val="00C73156"/>
    <w:rsid w:val="00C73354"/>
    <w:rsid w:val="00C7484C"/>
    <w:rsid w:val="00C757DC"/>
    <w:rsid w:val="00C76B89"/>
    <w:rsid w:val="00C80226"/>
    <w:rsid w:val="00C80E7C"/>
    <w:rsid w:val="00C8132E"/>
    <w:rsid w:val="00C820BD"/>
    <w:rsid w:val="00C82444"/>
    <w:rsid w:val="00C826B1"/>
    <w:rsid w:val="00C83FE2"/>
    <w:rsid w:val="00C84DC6"/>
    <w:rsid w:val="00C84E2D"/>
    <w:rsid w:val="00C86D79"/>
    <w:rsid w:val="00C874D6"/>
    <w:rsid w:val="00C91841"/>
    <w:rsid w:val="00C91BB4"/>
    <w:rsid w:val="00C93A81"/>
    <w:rsid w:val="00C9480D"/>
    <w:rsid w:val="00C94CAA"/>
    <w:rsid w:val="00C95252"/>
    <w:rsid w:val="00C97229"/>
    <w:rsid w:val="00CA0BFC"/>
    <w:rsid w:val="00CA20D1"/>
    <w:rsid w:val="00CA26A3"/>
    <w:rsid w:val="00CA30E8"/>
    <w:rsid w:val="00CA5164"/>
    <w:rsid w:val="00CA541B"/>
    <w:rsid w:val="00CA59B7"/>
    <w:rsid w:val="00CA6A40"/>
    <w:rsid w:val="00CA6FC2"/>
    <w:rsid w:val="00CA7B4C"/>
    <w:rsid w:val="00CB2806"/>
    <w:rsid w:val="00CB56B1"/>
    <w:rsid w:val="00CB6A3F"/>
    <w:rsid w:val="00CB7350"/>
    <w:rsid w:val="00CB79AF"/>
    <w:rsid w:val="00CC0844"/>
    <w:rsid w:val="00CC20A5"/>
    <w:rsid w:val="00CC2ED1"/>
    <w:rsid w:val="00CC67EE"/>
    <w:rsid w:val="00CD10AA"/>
    <w:rsid w:val="00CD1BAE"/>
    <w:rsid w:val="00CD3416"/>
    <w:rsid w:val="00CD6514"/>
    <w:rsid w:val="00CD6C77"/>
    <w:rsid w:val="00CE11E1"/>
    <w:rsid w:val="00CE2E3A"/>
    <w:rsid w:val="00CE32DA"/>
    <w:rsid w:val="00CE45A6"/>
    <w:rsid w:val="00CE5B60"/>
    <w:rsid w:val="00CE7584"/>
    <w:rsid w:val="00CF09AD"/>
    <w:rsid w:val="00CF2649"/>
    <w:rsid w:val="00CF3A73"/>
    <w:rsid w:val="00CF55EA"/>
    <w:rsid w:val="00CF5797"/>
    <w:rsid w:val="00CF60B0"/>
    <w:rsid w:val="00CF758A"/>
    <w:rsid w:val="00D01CAB"/>
    <w:rsid w:val="00D026AB"/>
    <w:rsid w:val="00D03CA5"/>
    <w:rsid w:val="00D03F03"/>
    <w:rsid w:val="00D04252"/>
    <w:rsid w:val="00D10B06"/>
    <w:rsid w:val="00D11F1F"/>
    <w:rsid w:val="00D12560"/>
    <w:rsid w:val="00D12FD4"/>
    <w:rsid w:val="00D1317E"/>
    <w:rsid w:val="00D165C6"/>
    <w:rsid w:val="00D20CA0"/>
    <w:rsid w:val="00D2113A"/>
    <w:rsid w:val="00D21EB2"/>
    <w:rsid w:val="00D2235D"/>
    <w:rsid w:val="00D22D17"/>
    <w:rsid w:val="00D24409"/>
    <w:rsid w:val="00D2641C"/>
    <w:rsid w:val="00D26861"/>
    <w:rsid w:val="00D30AB8"/>
    <w:rsid w:val="00D30F75"/>
    <w:rsid w:val="00D314AF"/>
    <w:rsid w:val="00D317FC"/>
    <w:rsid w:val="00D34A85"/>
    <w:rsid w:val="00D361D4"/>
    <w:rsid w:val="00D3670C"/>
    <w:rsid w:val="00D3678A"/>
    <w:rsid w:val="00D36D48"/>
    <w:rsid w:val="00D376C8"/>
    <w:rsid w:val="00D4581E"/>
    <w:rsid w:val="00D46F7F"/>
    <w:rsid w:val="00D46FCD"/>
    <w:rsid w:val="00D473EE"/>
    <w:rsid w:val="00D51804"/>
    <w:rsid w:val="00D52415"/>
    <w:rsid w:val="00D52A71"/>
    <w:rsid w:val="00D54D4D"/>
    <w:rsid w:val="00D56F3A"/>
    <w:rsid w:val="00D57491"/>
    <w:rsid w:val="00D57FDE"/>
    <w:rsid w:val="00D600BF"/>
    <w:rsid w:val="00D6023A"/>
    <w:rsid w:val="00D611FB"/>
    <w:rsid w:val="00D61FF4"/>
    <w:rsid w:val="00D634FB"/>
    <w:rsid w:val="00D63801"/>
    <w:rsid w:val="00D63C24"/>
    <w:rsid w:val="00D63C8D"/>
    <w:rsid w:val="00D655A1"/>
    <w:rsid w:val="00D664D6"/>
    <w:rsid w:val="00D66F5E"/>
    <w:rsid w:val="00D70591"/>
    <w:rsid w:val="00D70720"/>
    <w:rsid w:val="00D7139F"/>
    <w:rsid w:val="00D73AFC"/>
    <w:rsid w:val="00D7424A"/>
    <w:rsid w:val="00D75B4E"/>
    <w:rsid w:val="00D75C96"/>
    <w:rsid w:val="00D80550"/>
    <w:rsid w:val="00D80F97"/>
    <w:rsid w:val="00D82672"/>
    <w:rsid w:val="00D834F5"/>
    <w:rsid w:val="00D84902"/>
    <w:rsid w:val="00D8542E"/>
    <w:rsid w:val="00D90184"/>
    <w:rsid w:val="00D91B63"/>
    <w:rsid w:val="00D93055"/>
    <w:rsid w:val="00D954B9"/>
    <w:rsid w:val="00D9670C"/>
    <w:rsid w:val="00D97264"/>
    <w:rsid w:val="00DA14ED"/>
    <w:rsid w:val="00DA29EA"/>
    <w:rsid w:val="00DA37DD"/>
    <w:rsid w:val="00DA3896"/>
    <w:rsid w:val="00DA614A"/>
    <w:rsid w:val="00DA6E2C"/>
    <w:rsid w:val="00DA7FDD"/>
    <w:rsid w:val="00DB130D"/>
    <w:rsid w:val="00DB68C5"/>
    <w:rsid w:val="00DC2A8E"/>
    <w:rsid w:val="00DC33C1"/>
    <w:rsid w:val="00DC542E"/>
    <w:rsid w:val="00DC7CE9"/>
    <w:rsid w:val="00DD0DC9"/>
    <w:rsid w:val="00DD1F8E"/>
    <w:rsid w:val="00DD217A"/>
    <w:rsid w:val="00DD3F0B"/>
    <w:rsid w:val="00DD41B3"/>
    <w:rsid w:val="00DD5413"/>
    <w:rsid w:val="00DD605F"/>
    <w:rsid w:val="00DE0E44"/>
    <w:rsid w:val="00DE24ED"/>
    <w:rsid w:val="00DE2BF2"/>
    <w:rsid w:val="00DE3166"/>
    <w:rsid w:val="00DE3284"/>
    <w:rsid w:val="00DE4C28"/>
    <w:rsid w:val="00DE63A0"/>
    <w:rsid w:val="00DE7C31"/>
    <w:rsid w:val="00DF1552"/>
    <w:rsid w:val="00DF1D58"/>
    <w:rsid w:val="00DF28A2"/>
    <w:rsid w:val="00DF2DE8"/>
    <w:rsid w:val="00DF2F6F"/>
    <w:rsid w:val="00DF326A"/>
    <w:rsid w:val="00DF4785"/>
    <w:rsid w:val="00DF4F6B"/>
    <w:rsid w:val="00DF595E"/>
    <w:rsid w:val="00DF78AC"/>
    <w:rsid w:val="00E0329B"/>
    <w:rsid w:val="00E0376B"/>
    <w:rsid w:val="00E063F1"/>
    <w:rsid w:val="00E0640D"/>
    <w:rsid w:val="00E15395"/>
    <w:rsid w:val="00E172E6"/>
    <w:rsid w:val="00E21678"/>
    <w:rsid w:val="00E21A05"/>
    <w:rsid w:val="00E23226"/>
    <w:rsid w:val="00E2348A"/>
    <w:rsid w:val="00E23A6E"/>
    <w:rsid w:val="00E255F4"/>
    <w:rsid w:val="00E269D6"/>
    <w:rsid w:val="00E270B8"/>
    <w:rsid w:val="00E306C2"/>
    <w:rsid w:val="00E3338F"/>
    <w:rsid w:val="00E359DA"/>
    <w:rsid w:val="00E35DCD"/>
    <w:rsid w:val="00E40155"/>
    <w:rsid w:val="00E4034B"/>
    <w:rsid w:val="00E4089A"/>
    <w:rsid w:val="00E40B86"/>
    <w:rsid w:val="00E4184A"/>
    <w:rsid w:val="00E4545B"/>
    <w:rsid w:val="00E456F6"/>
    <w:rsid w:val="00E45A08"/>
    <w:rsid w:val="00E4708B"/>
    <w:rsid w:val="00E503D9"/>
    <w:rsid w:val="00E517D7"/>
    <w:rsid w:val="00E52095"/>
    <w:rsid w:val="00E525A1"/>
    <w:rsid w:val="00E55027"/>
    <w:rsid w:val="00E55F3A"/>
    <w:rsid w:val="00E61738"/>
    <w:rsid w:val="00E649A4"/>
    <w:rsid w:val="00E649D8"/>
    <w:rsid w:val="00E6536F"/>
    <w:rsid w:val="00E70A1E"/>
    <w:rsid w:val="00E722AD"/>
    <w:rsid w:val="00E72693"/>
    <w:rsid w:val="00E7422E"/>
    <w:rsid w:val="00E74671"/>
    <w:rsid w:val="00E7490C"/>
    <w:rsid w:val="00E75613"/>
    <w:rsid w:val="00E76C11"/>
    <w:rsid w:val="00E80FE2"/>
    <w:rsid w:val="00E81EC0"/>
    <w:rsid w:val="00E8270A"/>
    <w:rsid w:val="00E82F49"/>
    <w:rsid w:val="00E84481"/>
    <w:rsid w:val="00E84CEE"/>
    <w:rsid w:val="00E87775"/>
    <w:rsid w:val="00E90E04"/>
    <w:rsid w:val="00E91F68"/>
    <w:rsid w:val="00E92D17"/>
    <w:rsid w:val="00E93444"/>
    <w:rsid w:val="00E93FEA"/>
    <w:rsid w:val="00E95393"/>
    <w:rsid w:val="00E9780A"/>
    <w:rsid w:val="00EA06A4"/>
    <w:rsid w:val="00EA0AE9"/>
    <w:rsid w:val="00EA25FE"/>
    <w:rsid w:val="00EA49DA"/>
    <w:rsid w:val="00EA5437"/>
    <w:rsid w:val="00EA5732"/>
    <w:rsid w:val="00EA5BA3"/>
    <w:rsid w:val="00EA648C"/>
    <w:rsid w:val="00EA66A4"/>
    <w:rsid w:val="00EA6AE2"/>
    <w:rsid w:val="00EA6BD8"/>
    <w:rsid w:val="00EB04F2"/>
    <w:rsid w:val="00EB2726"/>
    <w:rsid w:val="00EB3CF0"/>
    <w:rsid w:val="00EB5268"/>
    <w:rsid w:val="00EB6322"/>
    <w:rsid w:val="00EC155D"/>
    <w:rsid w:val="00EC212F"/>
    <w:rsid w:val="00EC2555"/>
    <w:rsid w:val="00EC33A0"/>
    <w:rsid w:val="00EC3B4D"/>
    <w:rsid w:val="00EC3D19"/>
    <w:rsid w:val="00EC48F0"/>
    <w:rsid w:val="00EC4AD4"/>
    <w:rsid w:val="00EC5230"/>
    <w:rsid w:val="00EC5B21"/>
    <w:rsid w:val="00ED4BBA"/>
    <w:rsid w:val="00ED637A"/>
    <w:rsid w:val="00ED6C08"/>
    <w:rsid w:val="00ED71FF"/>
    <w:rsid w:val="00EE0DD7"/>
    <w:rsid w:val="00EE0F77"/>
    <w:rsid w:val="00EE15E8"/>
    <w:rsid w:val="00EE1B42"/>
    <w:rsid w:val="00EE1C47"/>
    <w:rsid w:val="00EE2643"/>
    <w:rsid w:val="00EE3B20"/>
    <w:rsid w:val="00EE3E3C"/>
    <w:rsid w:val="00EE4380"/>
    <w:rsid w:val="00EE4475"/>
    <w:rsid w:val="00EE4D67"/>
    <w:rsid w:val="00EE6095"/>
    <w:rsid w:val="00EE7798"/>
    <w:rsid w:val="00EE7C67"/>
    <w:rsid w:val="00EE7E6B"/>
    <w:rsid w:val="00EF1894"/>
    <w:rsid w:val="00EF18A7"/>
    <w:rsid w:val="00EF2663"/>
    <w:rsid w:val="00EF2A72"/>
    <w:rsid w:val="00EF3656"/>
    <w:rsid w:val="00EF5D4F"/>
    <w:rsid w:val="00EF6092"/>
    <w:rsid w:val="00EF60E6"/>
    <w:rsid w:val="00EF7E62"/>
    <w:rsid w:val="00F00E71"/>
    <w:rsid w:val="00F01EDE"/>
    <w:rsid w:val="00F04773"/>
    <w:rsid w:val="00F04AD7"/>
    <w:rsid w:val="00F053DD"/>
    <w:rsid w:val="00F104E1"/>
    <w:rsid w:val="00F10DA9"/>
    <w:rsid w:val="00F136A9"/>
    <w:rsid w:val="00F2133F"/>
    <w:rsid w:val="00F21355"/>
    <w:rsid w:val="00F231F7"/>
    <w:rsid w:val="00F245CE"/>
    <w:rsid w:val="00F24D64"/>
    <w:rsid w:val="00F2631D"/>
    <w:rsid w:val="00F2642E"/>
    <w:rsid w:val="00F2791C"/>
    <w:rsid w:val="00F31973"/>
    <w:rsid w:val="00F320AB"/>
    <w:rsid w:val="00F35207"/>
    <w:rsid w:val="00F35263"/>
    <w:rsid w:val="00F35469"/>
    <w:rsid w:val="00F358EE"/>
    <w:rsid w:val="00F35CF7"/>
    <w:rsid w:val="00F374AF"/>
    <w:rsid w:val="00F40628"/>
    <w:rsid w:val="00F41B72"/>
    <w:rsid w:val="00F43136"/>
    <w:rsid w:val="00F4457A"/>
    <w:rsid w:val="00F4568A"/>
    <w:rsid w:val="00F45F5B"/>
    <w:rsid w:val="00F50054"/>
    <w:rsid w:val="00F50A48"/>
    <w:rsid w:val="00F517F6"/>
    <w:rsid w:val="00F52EA1"/>
    <w:rsid w:val="00F53002"/>
    <w:rsid w:val="00F54571"/>
    <w:rsid w:val="00F5464B"/>
    <w:rsid w:val="00F54778"/>
    <w:rsid w:val="00F562E4"/>
    <w:rsid w:val="00F56ECD"/>
    <w:rsid w:val="00F57EFF"/>
    <w:rsid w:val="00F62507"/>
    <w:rsid w:val="00F631B4"/>
    <w:rsid w:val="00F63C3E"/>
    <w:rsid w:val="00F64DEA"/>
    <w:rsid w:val="00F6511C"/>
    <w:rsid w:val="00F6688D"/>
    <w:rsid w:val="00F66CD2"/>
    <w:rsid w:val="00F66EB4"/>
    <w:rsid w:val="00F66EE9"/>
    <w:rsid w:val="00F70652"/>
    <w:rsid w:val="00F7107F"/>
    <w:rsid w:val="00F71295"/>
    <w:rsid w:val="00F7172A"/>
    <w:rsid w:val="00F726CD"/>
    <w:rsid w:val="00F72CD5"/>
    <w:rsid w:val="00F72DEA"/>
    <w:rsid w:val="00F76BFC"/>
    <w:rsid w:val="00F76CBF"/>
    <w:rsid w:val="00F80413"/>
    <w:rsid w:val="00F80546"/>
    <w:rsid w:val="00F80978"/>
    <w:rsid w:val="00F814BF"/>
    <w:rsid w:val="00F817B2"/>
    <w:rsid w:val="00F81894"/>
    <w:rsid w:val="00F82245"/>
    <w:rsid w:val="00F82308"/>
    <w:rsid w:val="00F8243D"/>
    <w:rsid w:val="00F847AA"/>
    <w:rsid w:val="00F84B84"/>
    <w:rsid w:val="00F85E57"/>
    <w:rsid w:val="00F87C98"/>
    <w:rsid w:val="00F949B9"/>
    <w:rsid w:val="00F9506C"/>
    <w:rsid w:val="00F9620C"/>
    <w:rsid w:val="00F963F2"/>
    <w:rsid w:val="00FA3CE2"/>
    <w:rsid w:val="00FA435E"/>
    <w:rsid w:val="00FA54EE"/>
    <w:rsid w:val="00FA6BF6"/>
    <w:rsid w:val="00FB05CB"/>
    <w:rsid w:val="00FB0CF0"/>
    <w:rsid w:val="00FB3201"/>
    <w:rsid w:val="00FB344D"/>
    <w:rsid w:val="00FB3809"/>
    <w:rsid w:val="00FB38F9"/>
    <w:rsid w:val="00FB3F2F"/>
    <w:rsid w:val="00FB4AE0"/>
    <w:rsid w:val="00FB4FBB"/>
    <w:rsid w:val="00FB71DB"/>
    <w:rsid w:val="00FB7D16"/>
    <w:rsid w:val="00FC0EE3"/>
    <w:rsid w:val="00FC30D9"/>
    <w:rsid w:val="00FC44BA"/>
    <w:rsid w:val="00FC6414"/>
    <w:rsid w:val="00FC734E"/>
    <w:rsid w:val="00FC78B7"/>
    <w:rsid w:val="00FC7F6F"/>
    <w:rsid w:val="00FD0002"/>
    <w:rsid w:val="00FD042B"/>
    <w:rsid w:val="00FD0CD2"/>
    <w:rsid w:val="00FD100F"/>
    <w:rsid w:val="00FD2DF5"/>
    <w:rsid w:val="00FD3D5A"/>
    <w:rsid w:val="00FD41A0"/>
    <w:rsid w:val="00FD5915"/>
    <w:rsid w:val="00FD6AD2"/>
    <w:rsid w:val="00FD776C"/>
    <w:rsid w:val="00FD7C85"/>
    <w:rsid w:val="00FE0777"/>
    <w:rsid w:val="00FE15B7"/>
    <w:rsid w:val="00FE30F6"/>
    <w:rsid w:val="00FE4255"/>
    <w:rsid w:val="00FE439D"/>
    <w:rsid w:val="00FE5301"/>
    <w:rsid w:val="00FE55AF"/>
    <w:rsid w:val="00FE6F8C"/>
    <w:rsid w:val="00FF097A"/>
    <w:rsid w:val="00FF271D"/>
    <w:rsid w:val="00FF57C3"/>
    <w:rsid w:val="00FF6663"/>
    <w:rsid w:val="00FF6BD5"/>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f" fillcolor="white" stroke="f">
      <v:fill color="white" on="f"/>
      <v:stroke on="f"/>
    </o:shapedefaults>
    <o:shapelayout v:ext="edit">
      <o:idmap v:ext="edit" data="1"/>
    </o:shapelayout>
  </w:shapeDefaults>
  <w:decimalSymbol w:val="."/>
  <w:listSeparator w:val=","/>
  <w14:docId w14:val="5B3A8D51"/>
  <w15:chartTrackingRefBased/>
  <w15:docId w15:val="{30928FE6-8DC6-4C9E-9A64-561538B1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color w:val="000000"/>
      <w:kern w:val="36"/>
      <w:sz w:val="48"/>
      <w:szCs w:val="48"/>
      <w:lang w:val="en-U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Black" w:hAnsi="Arial Black"/>
      <w:i/>
      <w:iCs/>
      <w:sz w:val="52"/>
      <w:szCs w:val="2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0"/>
    </w:rPr>
  </w:style>
  <w:style w:type="paragraph" w:styleId="TOC1">
    <w:name w:val="toc 1"/>
    <w:basedOn w:val="Normal"/>
    <w:next w:val="Normal"/>
    <w:autoRedefine/>
    <w:semiHidden/>
    <w:pPr>
      <w:spacing w:before="120" w:after="120"/>
      <w:jc w:val="center"/>
    </w:pPr>
    <w:rPr>
      <w:b/>
      <w:bCs/>
      <w:i/>
      <w:iCs/>
      <w:color w:val="3366FF"/>
      <w:szCs w:val="28"/>
    </w:rPr>
  </w:style>
  <w:style w:type="paragraph" w:styleId="FootnoteText">
    <w:name w:val="footnote text"/>
    <w:basedOn w:val="Normal"/>
    <w:semiHidden/>
    <w:pPr>
      <w:widowControl w:val="0"/>
    </w:pPr>
    <w:rPr>
      <w:snapToGrid w:val="0"/>
      <w:spacing w:val="-3"/>
      <w:szCs w:val="20"/>
      <w:lang w:val="en-US"/>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i/>
      <w:iCs/>
      <w:szCs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i w:val="0"/>
      <w:iCs w:val="0"/>
      <w:szCs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rsid w:val="009B72C8"/>
    <w:rPr>
      <w:rFonts w:ascii="Tahoma" w:hAnsi="Tahoma" w:cs="Tahoma"/>
      <w:sz w:val="16"/>
      <w:szCs w:val="16"/>
    </w:rPr>
  </w:style>
  <w:style w:type="character" w:customStyle="1" w:styleId="BalloonTextChar">
    <w:name w:val="Balloon Text Char"/>
    <w:link w:val="BalloonText"/>
    <w:rsid w:val="009B72C8"/>
    <w:rPr>
      <w:rFonts w:ascii="Tahoma" w:hAnsi="Tahoma" w:cs="Tahoma"/>
      <w:sz w:val="16"/>
      <w:szCs w:val="16"/>
      <w:lang w:val="en-GB"/>
    </w:rPr>
  </w:style>
  <w:style w:type="character" w:customStyle="1" w:styleId="FooterChar">
    <w:name w:val="Footer Char"/>
    <w:link w:val="Footer"/>
    <w:uiPriority w:val="99"/>
    <w:rsid w:val="006B4925"/>
    <w:rPr>
      <w:sz w:val="24"/>
      <w:lang w:val="en-GB" w:eastAsia="en-US"/>
    </w:rPr>
  </w:style>
  <w:style w:type="character" w:styleId="CommentReference">
    <w:name w:val="annotation reference"/>
    <w:rsid w:val="00A83543"/>
    <w:rPr>
      <w:sz w:val="16"/>
      <w:szCs w:val="16"/>
    </w:rPr>
  </w:style>
  <w:style w:type="paragraph" w:styleId="CommentSubject">
    <w:name w:val="annotation subject"/>
    <w:basedOn w:val="CommentText"/>
    <w:next w:val="CommentText"/>
    <w:link w:val="CommentSubjectChar"/>
    <w:rsid w:val="00A83543"/>
    <w:rPr>
      <w:b/>
      <w:bCs/>
    </w:rPr>
  </w:style>
  <w:style w:type="character" w:customStyle="1" w:styleId="CommentTextChar">
    <w:name w:val="Comment Text Char"/>
    <w:link w:val="CommentText"/>
    <w:semiHidden/>
    <w:rsid w:val="00A83543"/>
    <w:rPr>
      <w:lang w:val="en-GB" w:eastAsia="en-US"/>
    </w:rPr>
  </w:style>
  <w:style w:type="character" w:customStyle="1" w:styleId="CommentSubjectChar">
    <w:name w:val="Comment Subject Char"/>
    <w:link w:val="CommentSubject"/>
    <w:rsid w:val="00A83543"/>
    <w:rPr>
      <w:b/>
      <w:bCs/>
      <w:lang w:val="en-GB" w:eastAsia="en-US"/>
    </w:rPr>
  </w:style>
  <w:style w:type="character" w:styleId="Strong">
    <w:name w:val="Strong"/>
    <w:uiPriority w:val="22"/>
    <w:qFormat/>
    <w:rsid w:val="00553CD8"/>
    <w:rPr>
      <w:b/>
      <w:bCs/>
    </w:rPr>
  </w:style>
  <w:style w:type="character" w:customStyle="1" w:styleId="apple-converted-space">
    <w:name w:val="apple-converted-space"/>
    <w:rsid w:val="0055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1079">
      <w:bodyDiv w:val="1"/>
      <w:marLeft w:val="0"/>
      <w:marRight w:val="0"/>
      <w:marTop w:val="0"/>
      <w:marBottom w:val="0"/>
      <w:divBdr>
        <w:top w:val="none" w:sz="0" w:space="0" w:color="auto"/>
        <w:left w:val="none" w:sz="0" w:space="0" w:color="auto"/>
        <w:bottom w:val="none" w:sz="0" w:space="0" w:color="auto"/>
        <w:right w:val="none" w:sz="0" w:space="0" w:color="auto"/>
      </w:divBdr>
    </w:div>
    <w:div w:id="38633357">
      <w:bodyDiv w:val="1"/>
      <w:marLeft w:val="0"/>
      <w:marRight w:val="0"/>
      <w:marTop w:val="0"/>
      <w:marBottom w:val="0"/>
      <w:divBdr>
        <w:top w:val="none" w:sz="0" w:space="0" w:color="auto"/>
        <w:left w:val="none" w:sz="0" w:space="0" w:color="auto"/>
        <w:bottom w:val="none" w:sz="0" w:space="0" w:color="auto"/>
        <w:right w:val="none" w:sz="0" w:space="0" w:color="auto"/>
      </w:divBdr>
    </w:div>
    <w:div w:id="125320937">
      <w:bodyDiv w:val="1"/>
      <w:marLeft w:val="0"/>
      <w:marRight w:val="0"/>
      <w:marTop w:val="0"/>
      <w:marBottom w:val="0"/>
      <w:divBdr>
        <w:top w:val="none" w:sz="0" w:space="0" w:color="auto"/>
        <w:left w:val="none" w:sz="0" w:space="0" w:color="auto"/>
        <w:bottom w:val="none" w:sz="0" w:space="0" w:color="auto"/>
        <w:right w:val="none" w:sz="0" w:space="0" w:color="auto"/>
      </w:divBdr>
    </w:div>
    <w:div w:id="218126562">
      <w:bodyDiv w:val="1"/>
      <w:marLeft w:val="0"/>
      <w:marRight w:val="0"/>
      <w:marTop w:val="0"/>
      <w:marBottom w:val="0"/>
      <w:divBdr>
        <w:top w:val="none" w:sz="0" w:space="0" w:color="auto"/>
        <w:left w:val="none" w:sz="0" w:space="0" w:color="auto"/>
        <w:bottom w:val="none" w:sz="0" w:space="0" w:color="auto"/>
        <w:right w:val="none" w:sz="0" w:space="0" w:color="auto"/>
      </w:divBdr>
    </w:div>
    <w:div w:id="241136956">
      <w:bodyDiv w:val="1"/>
      <w:marLeft w:val="0"/>
      <w:marRight w:val="0"/>
      <w:marTop w:val="0"/>
      <w:marBottom w:val="0"/>
      <w:divBdr>
        <w:top w:val="none" w:sz="0" w:space="0" w:color="auto"/>
        <w:left w:val="none" w:sz="0" w:space="0" w:color="auto"/>
        <w:bottom w:val="none" w:sz="0" w:space="0" w:color="auto"/>
        <w:right w:val="none" w:sz="0" w:space="0" w:color="auto"/>
      </w:divBdr>
    </w:div>
    <w:div w:id="303241292">
      <w:bodyDiv w:val="1"/>
      <w:marLeft w:val="0"/>
      <w:marRight w:val="0"/>
      <w:marTop w:val="0"/>
      <w:marBottom w:val="0"/>
      <w:divBdr>
        <w:top w:val="none" w:sz="0" w:space="0" w:color="auto"/>
        <w:left w:val="none" w:sz="0" w:space="0" w:color="auto"/>
        <w:bottom w:val="none" w:sz="0" w:space="0" w:color="auto"/>
        <w:right w:val="none" w:sz="0" w:space="0" w:color="auto"/>
      </w:divBdr>
    </w:div>
    <w:div w:id="377557304">
      <w:bodyDiv w:val="1"/>
      <w:marLeft w:val="0"/>
      <w:marRight w:val="0"/>
      <w:marTop w:val="0"/>
      <w:marBottom w:val="0"/>
      <w:divBdr>
        <w:top w:val="none" w:sz="0" w:space="0" w:color="auto"/>
        <w:left w:val="none" w:sz="0" w:space="0" w:color="auto"/>
        <w:bottom w:val="none" w:sz="0" w:space="0" w:color="auto"/>
        <w:right w:val="none" w:sz="0" w:space="0" w:color="auto"/>
      </w:divBdr>
    </w:div>
    <w:div w:id="461922790">
      <w:bodyDiv w:val="1"/>
      <w:marLeft w:val="0"/>
      <w:marRight w:val="0"/>
      <w:marTop w:val="0"/>
      <w:marBottom w:val="0"/>
      <w:divBdr>
        <w:top w:val="none" w:sz="0" w:space="0" w:color="auto"/>
        <w:left w:val="none" w:sz="0" w:space="0" w:color="auto"/>
        <w:bottom w:val="none" w:sz="0" w:space="0" w:color="auto"/>
        <w:right w:val="none" w:sz="0" w:space="0" w:color="auto"/>
      </w:divBdr>
    </w:div>
    <w:div w:id="473530291">
      <w:bodyDiv w:val="1"/>
      <w:marLeft w:val="0"/>
      <w:marRight w:val="0"/>
      <w:marTop w:val="0"/>
      <w:marBottom w:val="0"/>
      <w:divBdr>
        <w:top w:val="none" w:sz="0" w:space="0" w:color="auto"/>
        <w:left w:val="none" w:sz="0" w:space="0" w:color="auto"/>
        <w:bottom w:val="none" w:sz="0" w:space="0" w:color="auto"/>
        <w:right w:val="none" w:sz="0" w:space="0" w:color="auto"/>
      </w:divBdr>
    </w:div>
    <w:div w:id="506795130">
      <w:bodyDiv w:val="1"/>
      <w:marLeft w:val="0"/>
      <w:marRight w:val="0"/>
      <w:marTop w:val="0"/>
      <w:marBottom w:val="0"/>
      <w:divBdr>
        <w:top w:val="none" w:sz="0" w:space="0" w:color="auto"/>
        <w:left w:val="none" w:sz="0" w:space="0" w:color="auto"/>
        <w:bottom w:val="none" w:sz="0" w:space="0" w:color="auto"/>
        <w:right w:val="none" w:sz="0" w:space="0" w:color="auto"/>
      </w:divBdr>
    </w:div>
    <w:div w:id="554123831">
      <w:bodyDiv w:val="1"/>
      <w:marLeft w:val="0"/>
      <w:marRight w:val="0"/>
      <w:marTop w:val="0"/>
      <w:marBottom w:val="0"/>
      <w:divBdr>
        <w:top w:val="none" w:sz="0" w:space="0" w:color="auto"/>
        <w:left w:val="none" w:sz="0" w:space="0" w:color="auto"/>
        <w:bottom w:val="none" w:sz="0" w:space="0" w:color="auto"/>
        <w:right w:val="none" w:sz="0" w:space="0" w:color="auto"/>
      </w:divBdr>
    </w:div>
    <w:div w:id="590744997">
      <w:bodyDiv w:val="1"/>
      <w:marLeft w:val="0"/>
      <w:marRight w:val="0"/>
      <w:marTop w:val="0"/>
      <w:marBottom w:val="0"/>
      <w:divBdr>
        <w:top w:val="none" w:sz="0" w:space="0" w:color="auto"/>
        <w:left w:val="none" w:sz="0" w:space="0" w:color="auto"/>
        <w:bottom w:val="none" w:sz="0" w:space="0" w:color="auto"/>
        <w:right w:val="none" w:sz="0" w:space="0" w:color="auto"/>
      </w:divBdr>
    </w:div>
    <w:div w:id="613369280">
      <w:bodyDiv w:val="1"/>
      <w:marLeft w:val="0"/>
      <w:marRight w:val="0"/>
      <w:marTop w:val="0"/>
      <w:marBottom w:val="0"/>
      <w:divBdr>
        <w:top w:val="none" w:sz="0" w:space="0" w:color="auto"/>
        <w:left w:val="none" w:sz="0" w:space="0" w:color="auto"/>
        <w:bottom w:val="none" w:sz="0" w:space="0" w:color="auto"/>
        <w:right w:val="none" w:sz="0" w:space="0" w:color="auto"/>
      </w:divBdr>
    </w:div>
    <w:div w:id="711421763">
      <w:bodyDiv w:val="1"/>
      <w:marLeft w:val="0"/>
      <w:marRight w:val="0"/>
      <w:marTop w:val="0"/>
      <w:marBottom w:val="0"/>
      <w:divBdr>
        <w:top w:val="none" w:sz="0" w:space="0" w:color="auto"/>
        <w:left w:val="none" w:sz="0" w:space="0" w:color="auto"/>
        <w:bottom w:val="none" w:sz="0" w:space="0" w:color="auto"/>
        <w:right w:val="none" w:sz="0" w:space="0" w:color="auto"/>
      </w:divBdr>
    </w:div>
    <w:div w:id="805005654">
      <w:bodyDiv w:val="1"/>
      <w:marLeft w:val="0"/>
      <w:marRight w:val="0"/>
      <w:marTop w:val="0"/>
      <w:marBottom w:val="0"/>
      <w:divBdr>
        <w:top w:val="none" w:sz="0" w:space="0" w:color="auto"/>
        <w:left w:val="none" w:sz="0" w:space="0" w:color="auto"/>
        <w:bottom w:val="none" w:sz="0" w:space="0" w:color="auto"/>
        <w:right w:val="none" w:sz="0" w:space="0" w:color="auto"/>
      </w:divBdr>
    </w:div>
    <w:div w:id="825559169">
      <w:bodyDiv w:val="1"/>
      <w:marLeft w:val="0"/>
      <w:marRight w:val="0"/>
      <w:marTop w:val="0"/>
      <w:marBottom w:val="0"/>
      <w:divBdr>
        <w:top w:val="none" w:sz="0" w:space="0" w:color="auto"/>
        <w:left w:val="none" w:sz="0" w:space="0" w:color="auto"/>
        <w:bottom w:val="none" w:sz="0" w:space="0" w:color="auto"/>
        <w:right w:val="none" w:sz="0" w:space="0" w:color="auto"/>
      </w:divBdr>
    </w:div>
    <w:div w:id="1019428460">
      <w:bodyDiv w:val="1"/>
      <w:marLeft w:val="0"/>
      <w:marRight w:val="0"/>
      <w:marTop w:val="0"/>
      <w:marBottom w:val="0"/>
      <w:divBdr>
        <w:top w:val="none" w:sz="0" w:space="0" w:color="auto"/>
        <w:left w:val="none" w:sz="0" w:space="0" w:color="auto"/>
        <w:bottom w:val="none" w:sz="0" w:space="0" w:color="auto"/>
        <w:right w:val="none" w:sz="0" w:space="0" w:color="auto"/>
      </w:divBdr>
    </w:div>
    <w:div w:id="1069839510">
      <w:bodyDiv w:val="1"/>
      <w:marLeft w:val="0"/>
      <w:marRight w:val="0"/>
      <w:marTop w:val="0"/>
      <w:marBottom w:val="0"/>
      <w:divBdr>
        <w:top w:val="none" w:sz="0" w:space="0" w:color="auto"/>
        <w:left w:val="none" w:sz="0" w:space="0" w:color="auto"/>
        <w:bottom w:val="none" w:sz="0" w:space="0" w:color="auto"/>
        <w:right w:val="none" w:sz="0" w:space="0" w:color="auto"/>
      </w:divBdr>
    </w:div>
    <w:div w:id="1099327708">
      <w:bodyDiv w:val="1"/>
      <w:marLeft w:val="0"/>
      <w:marRight w:val="0"/>
      <w:marTop w:val="0"/>
      <w:marBottom w:val="0"/>
      <w:divBdr>
        <w:top w:val="none" w:sz="0" w:space="0" w:color="auto"/>
        <w:left w:val="none" w:sz="0" w:space="0" w:color="auto"/>
        <w:bottom w:val="none" w:sz="0" w:space="0" w:color="auto"/>
        <w:right w:val="none" w:sz="0" w:space="0" w:color="auto"/>
      </w:divBdr>
    </w:div>
    <w:div w:id="1127313064">
      <w:bodyDiv w:val="1"/>
      <w:marLeft w:val="0"/>
      <w:marRight w:val="0"/>
      <w:marTop w:val="0"/>
      <w:marBottom w:val="0"/>
      <w:divBdr>
        <w:top w:val="none" w:sz="0" w:space="0" w:color="auto"/>
        <w:left w:val="none" w:sz="0" w:space="0" w:color="auto"/>
        <w:bottom w:val="none" w:sz="0" w:space="0" w:color="auto"/>
        <w:right w:val="none" w:sz="0" w:space="0" w:color="auto"/>
      </w:divBdr>
    </w:div>
    <w:div w:id="1164976043">
      <w:bodyDiv w:val="1"/>
      <w:marLeft w:val="0"/>
      <w:marRight w:val="0"/>
      <w:marTop w:val="0"/>
      <w:marBottom w:val="0"/>
      <w:divBdr>
        <w:top w:val="none" w:sz="0" w:space="0" w:color="auto"/>
        <w:left w:val="none" w:sz="0" w:space="0" w:color="auto"/>
        <w:bottom w:val="none" w:sz="0" w:space="0" w:color="auto"/>
        <w:right w:val="none" w:sz="0" w:space="0" w:color="auto"/>
      </w:divBdr>
    </w:div>
    <w:div w:id="1211259360">
      <w:bodyDiv w:val="1"/>
      <w:marLeft w:val="0"/>
      <w:marRight w:val="0"/>
      <w:marTop w:val="0"/>
      <w:marBottom w:val="0"/>
      <w:divBdr>
        <w:top w:val="none" w:sz="0" w:space="0" w:color="auto"/>
        <w:left w:val="none" w:sz="0" w:space="0" w:color="auto"/>
        <w:bottom w:val="none" w:sz="0" w:space="0" w:color="auto"/>
        <w:right w:val="none" w:sz="0" w:space="0" w:color="auto"/>
      </w:divBdr>
    </w:div>
    <w:div w:id="1257590195">
      <w:bodyDiv w:val="1"/>
      <w:marLeft w:val="0"/>
      <w:marRight w:val="0"/>
      <w:marTop w:val="0"/>
      <w:marBottom w:val="0"/>
      <w:divBdr>
        <w:top w:val="none" w:sz="0" w:space="0" w:color="auto"/>
        <w:left w:val="none" w:sz="0" w:space="0" w:color="auto"/>
        <w:bottom w:val="none" w:sz="0" w:space="0" w:color="auto"/>
        <w:right w:val="none" w:sz="0" w:space="0" w:color="auto"/>
      </w:divBdr>
    </w:div>
    <w:div w:id="1346128567">
      <w:bodyDiv w:val="1"/>
      <w:marLeft w:val="0"/>
      <w:marRight w:val="0"/>
      <w:marTop w:val="0"/>
      <w:marBottom w:val="0"/>
      <w:divBdr>
        <w:top w:val="none" w:sz="0" w:space="0" w:color="auto"/>
        <w:left w:val="none" w:sz="0" w:space="0" w:color="auto"/>
        <w:bottom w:val="none" w:sz="0" w:space="0" w:color="auto"/>
        <w:right w:val="none" w:sz="0" w:space="0" w:color="auto"/>
      </w:divBdr>
    </w:div>
    <w:div w:id="1363018744">
      <w:bodyDiv w:val="1"/>
      <w:marLeft w:val="0"/>
      <w:marRight w:val="0"/>
      <w:marTop w:val="0"/>
      <w:marBottom w:val="0"/>
      <w:divBdr>
        <w:top w:val="none" w:sz="0" w:space="0" w:color="auto"/>
        <w:left w:val="none" w:sz="0" w:space="0" w:color="auto"/>
        <w:bottom w:val="none" w:sz="0" w:space="0" w:color="auto"/>
        <w:right w:val="none" w:sz="0" w:space="0" w:color="auto"/>
      </w:divBdr>
    </w:div>
    <w:div w:id="1393773234">
      <w:bodyDiv w:val="1"/>
      <w:marLeft w:val="0"/>
      <w:marRight w:val="0"/>
      <w:marTop w:val="0"/>
      <w:marBottom w:val="0"/>
      <w:divBdr>
        <w:top w:val="none" w:sz="0" w:space="0" w:color="auto"/>
        <w:left w:val="none" w:sz="0" w:space="0" w:color="auto"/>
        <w:bottom w:val="none" w:sz="0" w:space="0" w:color="auto"/>
        <w:right w:val="none" w:sz="0" w:space="0" w:color="auto"/>
      </w:divBdr>
    </w:div>
    <w:div w:id="1396515688">
      <w:bodyDiv w:val="1"/>
      <w:marLeft w:val="0"/>
      <w:marRight w:val="0"/>
      <w:marTop w:val="0"/>
      <w:marBottom w:val="0"/>
      <w:divBdr>
        <w:top w:val="none" w:sz="0" w:space="0" w:color="auto"/>
        <w:left w:val="none" w:sz="0" w:space="0" w:color="auto"/>
        <w:bottom w:val="none" w:sz="0" w:space="0" w:color="auto"/>
        <w:right w:val="none" w:sz="0" w:space="0" w:color="auto"/>
      </w:divBdr>
    </w:div>
    <w:div w:id="1716539261">
      <w:bodyDiv w:val="1"/>
      <w:marLeft w:val="0"/>
      <w:marRight w:val="0"/>
      <w:marTop w:val="0"/>
      <w:marBottom w:val="0"/>
      <w:divBdr>
        <w:top w:val="none" w:sz="0" w:space="0" w:color="auto"/>
        <w:left w:val="none" w:sz="0" w:space="0" w:color="auto"/>
        <w:bottom w:val="none" w:sz="0" w:space="0" w:color="auto"/>
        <w:right w:val="none" w:sz="0" w:space="0" w:color="auto"/>
      </w:divBdr>
    </w:div>
    <w:div w:id="1752314540">
      <w:bodyDiv w:val="1"/>
      <w:marLeft w:val="0"/>
      <w:marRight w:val="0"/>
      <w:marTop w:val="0"/>
      <w:marBottom w:val="0"/>
      <w:divBdr>
        <w:top w:val="none" w:sz="0" w:space="0" w:color="auto"/>
        <w:left w:val="none" w:sz="0" w:space="0" w:color="auto"/>
        <w:bottom w:val="none" w:sz="0" w:space="0" w:color="auto"/>
        <w:right w:val="none" w:sz="0" w:space="0" w:color="auto"/>
      </w:divBdr>
    </w:div>
    <w:div w:id="1755584790">
      <w:bodyDiv w:val="1"/>
      <w:marLeft w:val="0"/>
      <w:marRight w:val="0"/>
      <w:marTop w:val="0"/>
      <w:marBottom w:val="0"/>
      <w:divBdr>
        <w:top w:val="none" w:sz="0" w:space="0" w:color="auto"/>
        <w:left w:val="none" w:sz="0" w:space="0" w:color="auto"/>
        <w:bottom w:val="none" w:sz="0" w:space="0" w:color="auto"/>
        <w:right w:val="none" w:sz="0" w:space="0" w:color="auto"/>
      </w:divBdr>
    </w:div>
    <w:div w:id="1776243862">
      <w:bodyDiv w:val="1"/>
      <w:marLeft w:val="0"/>
      <w:marRight w:val="0"/>
      <w:marTop w:val="0"/>
      <w:marBottom w:val="0"/>
      <w:divBdr>
        <w:top w:val="none" w:sz="0" w:space="0" w:color="auto"/>
        <w:left w:val="none" w:sz="0" w:space="0" w:color="auto"/>
        <w:bottom w:val="none" w:sz="0" w:space="0" w:color="auto"/>
        <w:right w:val="none" w:sz="0" w:space="0" w:color="auto"/>
      </w:divBdr>
    </w:div>
    <w:div w:id="1880164667">
      <w:bodyDiv w:val="1"/>
      <w:marLeft w:val="0"/>
      <w:marRight w:val="0"/>
      <w:marTop w:val="0"/>
      <w:marBottom w:val="0"/>
      <w:divBdr>
        <w:top w:val="none" w:sz="0" w:space="0" w:color="auto"/>
        <w:left w:val="none" w:sz="0" w:space="0" w:color="auto"/>
        <w:bottom w:val="none" w:sz="0" w:space="0" w:color="auto"/>
        <w:right w:val="none" w:sz="0" w:space="0" w:color="auto"/>
      </w:divBdr>
    </w:div>
    <w:div w:id="1881211475">
      <w:bodyDiv w:val="1"/>
      <w:marLeft w:val="0"/>
      <w:marRight w:val="0"/>
      <w:marTop w:val="0"/>
      <w:marBottom w:val="0"/>
      <w:divBdr>
        <w:top w:val="none" w:sz="0" w:space="0" w:color="auto"/>
        <w:left w:val="none" w:sz="0" w:space="0" w:color="auto"/>
        <w:bottom w:val="none" w:sz="0" w:space="0" w:color="auto"/>
        <w:right w:val="none" w:sz="0" w:space="0" w:color="auto"/>
      </w:divBdr>
    </w:div>
    <w:div w:id="1883708462">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99116189">
      <w:bodyDiv w:val="1"/>
      <w:marLeft w:val="0"/>
      <w:marRight w:val="0"/>
      <w:marTop w:val="0"/>
      <w:marBottom w:val="0"/>
      <w:divBdr>
        <w:top w:val="none" w:sz="0" w:space="0" w:color="auto"/>
        <w:left w:val="none" w:sz="0" w:space="0" w:color="auto"/>
        <w:bottom w:val="none" w:sz="0" w:space="0" w:color="auto"/>
        <w:right w:val="none" w:sz="0" w:space="0" w:color="auto"/>
      </w:divBdr>
    </w:div>
    <w:div w:id="20830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fsi.org"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BF5C-82E0-46B6-97B9-81EB1676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7</Pages>
  <Words>785</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This release and additional tables</vt:lpstr>
      <vt:lpstr>This release and additional tables</vt:lpstr>
    </vt:vector>
  </TitlesOfParts>
  <Company>Microsoft</Company>
  <LinksUpToDate>false</LinksUpToDate>
  <CharactersWithSpaces>4861</CharactersWithSpaces>
  <SharedDoc>false</SharedDoc>
  <HLinks>
    <vt:vector size="6" baseType="variant">
      <vt:variant>
        <vt:i4>4849690</vt:i4>
      </vt:variant>
      <vt:variant>
        <vt:i4>0</vt:i4>
      </vt:variant>
      <vt:variant>
        <vt:i4>0</vt:i4>
      </vt:variant>
      <vt:variant>
        <vt:i4>5</vt:i4>
      </vt:variant>
      <vt:variant>
        <vt:lpwstr>http://www.fefsi.org/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release and additional tables</dc:title>
  <dc:subject/>
  <dc:creator>Bernard Delbecque</dc:creator>
  <cp:keywords/>
  <cp:lastModifiedBy>Hailin Yang</cp:lastModifiedBy>
  <cp:revision>94</cp:revision>
  <cp:lastPrinted>2019-12-17T14:48:00Z</cp:lastPrinted>
  <dcterms:created xsi:type="dcterms:W3CDTF">2018-06-14T15:36:00Z</dcterms:created>
  <dcterms:modified xsi:type="dcterms:W3CDTF">2020-03-24T16:01:00Z</dcterms:modified>
</cp:coreProperties>
</file>